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80" w:rsidRPr="007628A6" w:rsidRDefault="007628A6" w:rsidP="00B37D80">
      <w:pPr>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7628A6">
        <w:rPr>
          <w:rFonts w:cs="Arial"/>
          <w:b/>
          <w:sz w:val="22"/>
          <w:szCs w:val="22"/>
        </w:rPr>
        <w:t xml:space="preserve">Appendix </w:t>
      </w:r>
      <w:r>
        <w:rPr>
          <w:rFonts w:cs="Arial"/>
          <w:b/>
          <w:sz w:val="22"/>
          <w:szCs w:val="22"/>
        </w:rPr>
        <w:t>'</w:t>
      </w:r>
      <w:r w:rsidRPr="007628A6">
        <w:rPr>
          <w:rFonts w:cs="Arial"/>
          <w:b/>
          <w:sz w:val="22"/>
          <w:szCs w:val="22"/>
        </w:rPr>
        <w:t>B</w:t>
      </w:r>
      <w:r>
        <w:rPr>
          <w:rFonts w:cs="Arial"/>
          <w:b/>
          <w:sz w:val="22"/>
          <w:szCs w:val="22"/>
        </w:rPr>
        <w:t>'</w:t>
      </w:r>
      <w:bookmarkStart w:id="0" w:name="_GoBack"/>
      <w:bookmarkEnd w:id="0"/>
    </w:p>
    <w:p w:rsidR="00B37D80" w:rsidRPr="00766098" w:rsidRDefault="00257F11" w:rsidP="005B6091">
      <w:pPr>
        <w:jc w:val="center"/>
        <w:rPr>
          <w:rFonts w:cs="Arial"/>
          <w:b/>
          <w:sz w:val="22"/>
          <w:szCs w:val="22"/>
        </w:rPr>
      </w:pPr>
      <w:r w:rsidRPr="00766098">
        <w:rPr>
          <w:rFonts w:cs="Arial"/>
          <w:b/>
          <w:sz w:val="22"/>
          <w:szCs w:val="22"/>
        </w:rPr>
        <w:t>Per</w:t>
      </w:r>
      <w:r w:rsidR="005B6091">
        <w:rPr>
          <w:rFonts w:cs="Arial"/>
          <w:b/>
          <w:sz w:val="22"/>
          <w:szCs w:val="22"/>
        </w:rPr>
        <w:t>formance Indicator Recovery Plan</w:t>
      </w:r>
    </w:p>
    <w:tbl>
      <w:tblPr>
        <w:tblpPr w:leftFromText="180" w:rightFromText="180" w:vertAnchor="text" w:horzAnchor="margin" w:tblpX="-97" w:tblpY="91"/>
        <w:tblW w:w="10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4889"/>
      </w:tblGrid>
      <w:tr w:rsidR="00257F11" w:rsidRPr="00766098" w:rsidTr="00A567FC">
        <w:trPr>
          <w:trHeight w:val="1125"/>
        </w:trPr>
        <w:tc>
          <w:tcPr>
            <w:tcW w:w="10237" w:type="dxa"/>
            <w:gridSpan w:val="2"/>
          </w:tcPr>
          <w:p w:rsidR="00257F11" w:rsidRPr="00766098" w:rsidRDefault="00257F11" w:rsidP="00A567FC">
            <w:pPr>
              <w:jc w:val="center"/>
              <w:rPr>
                <w:rFonts w:cs="Arial"/>
                <w:b/>
                <w:sz w:val="22"/>
                <w:szCs w:val="22"/>
              </w:rPr>
            </w:pPr>
          </w:p>
          <w:p w:rsidR="00257F11" w:rsidRPr="00766098" w:rsidRDefault="00C47850" w:rsidP="00A567FC">
            <w:pPr>
              <w:jc w:val="center"/>
              <w:rPr>
                <w:rFonts w:cs="Arial"/>
                <w:b/>
                <w:sz w:val="22"/>
                <w:szCs w:val="22"/>
              </w:rPr>
            </w:pPr>
            <w:r w:rsidRPr="00766098">
              <w:rPr>
                <w:rFonts w:cs="Arial"/>
                <w:b/>
                <w:sz w:val="22"/>
                <w:szCs w:val="22"/>
              </w:rPr>
              <w:t xml:space="preserve">Performance Indicator </w:t>
            </w:r>
            <w:r w:rsidR="005B04B5" w:rsidRPr="00766098">
              <w:rPr>
                <w:rFonts w:cs="Arial"/>
                <w:b/>
                <w:sz w:val="22"/>
                <w:szCs w:val="22"/>
              </w:rPr>
              <w:t>Description</w:t>
            </w:r>
            <w:r w:rsidR="00C60657" w:rsidRPr="00766098">
              <w:rPr>
                <w:rFonts w:cs="Arial"/>
                <w:b/>
                <w:sz w:val="22"/>
                <w:szCs w:val="22"/>
              </w:rPr>
              <w:t xml:space="preserve">: </w:t>
            </w:r>
          </w:p>
          <w:p w:rsidR="004C2F4A" w:rsidRPr="00766098" w:rsidRDefault="00B37D80" w:rsidP="00B37D80">
            <w:pPr>
              <w:tabs>
                <w:tab w:val="left" w:pos="1075"/>
              </w:tabs>
              <w:rPr>
                <w:rFonts w:cs="Arial"/>
                <w:b/>
                <w:bCs/>
                <w:sz w:val="22"/>
                <w:szCs w:val="22"/>
              </w:rPr>
            </w:pPr>
            <w:r>
              <w:rPr>
                <w:rFonts w:cs="Arial"/>
                <w:b/>
                <w:bCs/>
                <w:sz w:val="22"/>
                <w:szCs w:val="22"/>
              </w:rPr>
              <w:tab/>
            </w:r>
          </w:p>
          <w:p w:rsidR="004C2F4A" w:rsidRPr="00DC62B5" w:rsidRDefault="0057400B" w:rsidP="00A567FC">
            <w:pPr>
              <w:jc w:val="center"/>
              <w:rPr>
                <w:rFonts w:cs="Arial"/>
                <w:sz w:val="22"/>
                <w:szCs w:val="22"/>
              </w:rPr>
            </w:pPr>
            <w:r>
              <w:rPr>
                <w:rFonts w:cs="Arial"/>
                <w:bCs/>
                <w:sz w:val="22"/>
                <w:szCs w:val="22"/>
              </w:rPr>
              <w:t>Debt Owed to the County Council</w:t>
            </w:r>
          </w:p>
          <w:p w:rsidR="00257F11" w:rsidRPr="00766098" w:rsidRDefault="00257F11" w:rsidP="00A567FC">
            <w:pPr>
              <w:jc w:val="center"/>
              <w:rPr>
                <w:rFonts w:cs="Arial"/>
                <w:b/>
                <w:sz w:val="22"/>
                <w:szCs w:val="22"/>
              </w:rPr>
            </w:pPr>
          </w:p>
        </w:tc>
      </w:tr>
      <w:tr w:rsidR="00C47850" w:rsidRPr="00766098" w:rsidTr="00A567FC">
        <w:tc>
          <w:tcPr>
            <w:tcW w:w="5348" w:type="dxa"/>
          </w:tcPr>
          <w:p w:rsidR="00C47850" w:rsidRPr="00766098" w:rsidRDefault="0057400B" w:rsidP="00A567FC">
            <w:pPr>
              <w:rPr>
                <w:rFonts w:cs="Arial"/>
                <w:b/>
                <w:sz w:val="22"/>
                <w:szCs w:val="22"/>
                <w:u w:val="single"/>
              </w:rPr>
            </w:pPr>
            <w:r>
              <w:rPr>
                <w:rFonts w:cs="Arial"/>
                <w:b/>
                <w:sz w:val="22"/>
                <w:szCs w:val="22"/>
                <w:u w:val="single"/>
              </w:rPr>
              <w:t>Previous Period (September 2014)</w:t>
            </w:r>
          </w:p>
          <w:p w:rsidR="00C47850" w:rsidRPr="00766098" w:rsidRDefault="00C47850" w:rsidP="00A567FC">
            <w:pPr>
              <w:rPr>
                <w:rFonts w:cs="Arial"/>
                <w:b/>
                <w:sz w:val="22"/>
                <w:szCs w:val="22"/>
              </w:rPr>
            </w:pPr>
          </w:p>
          <w:p w:rsidR="004C2F4A" w:rsidRPr="00766098" w:rsidRDefault="0057400B" w:rsidP="0057400B">
            <w:pPr>
              <w:rPr>
                <w:rFonts w:cs="Arial"/>
                <w:sz w:val="22"/>
                <w:szCs w:val="22"/>
              </w:rPr>
            </w:pPr>
            <w:r>
              <w:rPr>
                <w:rFonts w:cs="Arial"/>
                <w:sz w:val="22"/>
                <w:szCs w:val="22"/>
              </w:rPr>
              <w:t>£30.34m</w:t>
            </w:r>
          </w:p>
        </w:tc>
        <w:tc>
          <w:tcPr>
            <w:tcW w:w="4889" w:type="dxa"/>
          </w:tcPr>
          <w:p w:rsidR="00C47850" w:rsidRPr="00766098" w:rsidRDefault="00B46B4D" w:rsidP="00A567FC">
            <w:pPr>
              <w:rPr>
                <w:rFonts w:cs="Arial"/>
                <w:b/>
                <w:sz w:val="22"/>
                <w:szCs w:val="22"/>
                <w:u w:val="single"/>
              </w:rPr>
            </w:pPr>
            <w:r w:rsidRPr="00766098">
              <w:rPr>
                <w:rFonts w:cs="Arial"/>
                <w:b/>
                <w:sz w:val="22"/>
                <w:szCs w:val="22"/>
                <w:u w:val="single"/>
              </w:rPr>
              <w:t>Current P</w:t>
            </w:r>
            <w:r w:rsidR="00C47850" w:rsidRPr="00766098">
              <w:rPr>
                <w:rFonts w:cs="Arial"/>
                <w:b/>
                <w:sz w:val="22"/>
                <w:szCs w:val="22"/>
                <w:u w:val="single"/>
              </w:rPr>
              <w:t>erformance</w:t>
            </w:r>
            <w:r w:rsidR="0057400B">
              <w:rPr>
                <w:rFonts w:cs="Arial"/>
                <w:b/>
                <w:sz w:val="22"/>
                <w:szCs w:val="22"/>
                <w:u w:val="single"/>
              </w:rPr>
              <w:t xml:space="preserve"> (December 2014)</w:t>
            </w:r>
          </w:p>
          <w:p w:rsidR="00C47850" w:rsidRPr="00766098" w:rsidRDefault="00C47850" w:rsidP="00A567FC">
            <w:pPr>
              <w:rPr>
                <w:rFonts w:cs="Arial"/>
                <w:b/>
                <w:sz w:val="22"/>
                <w:szCs w:val="22"/>
                <w:u w:val="single"/>
              </w:rPr>
            </w:pPr>
          </w:p>
          <w:p w:rsidR="00C47850" w:rsidRDefault="0057400B" w:rsidP="00A567FC">
            <w:pPr>
              <w:rPr>
                <w:rFonts w:cs="Arial"/>
                <w:sz w:val="22"/>
                <w:szCs w:val="22"/>
              </w:rPr>
            </w:pPr>
            <w:r>
              <w:rPr>
                <w:rFonts w:cs="Arial"/>
                <w:sz w:val="22"/>
                <w:szCs w:val="22"/>
              </w:rPr>
              <w:t>£37.44m</w:t>
            </w:r>
            <w:r w:rsidR="0043720E" w:rsidRPr="00766098">
              <w:rPr>
                <w:rFonts w:cs="Arial"/>
                <w:sz w:val="22"/>
                <w:szCs w:val="22"/>
              </w:rPr>
              <w:t xml:space="preserve">  </w:t>
            </w:r>
          </w:p>
          <w:p w:rsidR="005B6091" w:rsidRPr="00766098" w:rsidRDefault="005B6091" w:rsidP="00A567FC">
            <w:pPr>
              <w:rPr>
                <w:rFonts w:cs="Arial"/>
                <w:sz w:val="22"/>
                <w:szCs w:val="22"/>
              </w:rPr>
            </w:pPr>
          </w:p>
        </w:tc>
      </w:tr>
      <w:tr w:rsidR="005B6091" w:rsidRPr="00766098" w:rsidTr="00910C71">
        <w:trPr>
          <w:trHeight w:val="418"/>
        </w:trPr>
        <w:tc>
          <w:tcPr>
            <w:tcW w:w="10237" w:type="dxa"/>
            <w:gridSpan w:val="2"/>
          </w:tcPr>
          <w:p w:rsidR="005B6091" w:rsidRDefault="005B6091" w:rsidP="00A567FC">
            <w:pPr>
              <w:rPr>
                <w:rFonts w:cs="Arial"/>
                <w:b/>
                <w:sz w:val="22"/>
                <w:szCs w:val="22"/>
                <w:u w:val="single"/>
              </w:rPr>
            </w:pPr>
          </w:p>
          <w:p w:rsidR="005B6091" w:rsidRDefault="00A73099" w:rsidP="005B6091">
            <w:pPr>
              <w:rPr>
                <w:rFonts w:cs="Arial"/>
                <w:b/>
                <w:sz w:val="22"/>
                <w:szCs w:val="22"/>
                <w:u w:val="single"/>
              </w:rPr>
            </w:pPr>
            <w:r w:rsidRPr="00A73099">
              <w:rPr>
                <w:rFonts w:cs="Arial"/>
                <w:b/>
                <w:sz w:val="22"/>
                <w:szCs w:val="22"/>
                <w:u w:val="single"/>
              </w:rPr>
              <w:t xml:space="preserve">Introduction / Context </w:t>
            </w:r>
          </w:p>
          <w:p w:rsidR="00A73099" w:rsidRPr="00A73099" w:rsidRDefault="00A73099" w:rsidP="005B6091">
            <w:pPr>
              <w:rPr>
                <w:rFonts w:cs="Arial"/>
                <w:b/>
                <w:sz w:val="22"/>
                <w:szCs w:val="22"/>
                <w:u w:val="single"/>
              </w:rPr>
            </w:pPr>
          </w:p>
          <w:p w:rsidR="00B50F34" w:rsidRDefault="00B50F34" w:rsidP="005B6091">
            <w:pPr>
              <w:rPr>
                <w:rFonts w:cs="Arial"/>
                <w:sz w:val="22"/>
                <w:szCs w:val="22"/>
              </w:rPr>
            </w:pPr>
            <w:r w:rsidRPr="007B28EC">
              <w:rPr>
                <w:rFonts w:cs="Arial"/>
                <w:sz w:val="22"/>
                <w:szCs w:val="22"/>
              </w:rPr>
              <w:t xml:space="preserve">Approximately </w:t>
            </w:r>
            <w:r w:rsidRPr="007B28EC">
              <w:rPr>
                <w:rFonts w:cs="Arial"/>
                <w:b/>
                <w:sz w:val="22"/>
                <w:szCs w:val="22"/>
              </w:rPr>
              <w:t>200,000</w:t>
            </w:r>
            <w:r w:rsidR="00F206E1" w:rsidRPr="007B28EC">
              <w:rPr>
                <w:rFonts w:cs="Arial"/>
                <w:b/>
                <w:sz w:val="22"/>
                <w:szCs w:val="22"/>
              </w:rPr>
              <w:t>+</w:t>
            </w:r>
            <w:r w:rsidRPr="007B28EC">
              <w:rPr>
                <w:rFonts w:cs="Arial"/>
                <w:sz w:val="22"/>
                <w:szCs w:val="22"/>
              </w:rPr>
              <w:t xml:space="preserve"> debtor invoices are raised on behalf of the County Council each year and this volume has remained constant for at least the past 3 years. The value of these debtor accounts has also remained fairly constant over this period with an average value of </w:t>
            </w:r>
            <w:r w:rsidRPr="007B28EC">
              <w:rPr>
                <w:rFonts w:cs="Arial"/>
                <w:b/>
                <w:sz w:val="22"/>
                <w:szCs w:val="22"/>
              </w:rPr>
              <w:t>£300m</w:t>
            </w:r>
            <w:r w:rsidRPr="007B28EC">
              <w:rPr>
                <w:rFonts w:cs="Arial"/>
                <w:sz w:val="22"/>
                <w:szCs w:val="22"/>
              </w:rPr>
              <w:t xml:space="preserve"> per annum being invoiced.</w:t>
            </w:r>
          </w:p>
          <w:p w:rsidR="00B50F34" w:rsidRDefault="00B50F34" w:rsidP="005B6091">
            <w:pPr>
              <w:rPr>
                <w:rFonts w:cs="Arial"/>
                <w:sz w:val="22"/>
                <w:szCs w:val="22"/>
              </w:rPr>
            </w:pPr>
          </w:p>
          <w:p w:rsidR="00E02C98" w:rsidRDefault="006601BA" w:rsidP="005B6091">
            <w:pPr>
              <w:rPr>
                <w:rFonts w:cs="Arial"/>
                <w:sz w:val="22"/>
                <w:szCs w:val="22"/>
              </w:rPr>
            </w:pPr>
            <w:r>
              <w:rPr>
                <w:rFonts w:cs="Arial"/>
                <w:sz w:val="22"/>
                <w:szCs w:val="22"/>
              </w:rPr>
              <w:t xml:space="preserve">Debt is treated in 2 distinct elements ; </w:t>
            </w:r>
          </w:p>
          <w:p w:rsidR="00E02C98" w:rsidRDefault="00E02C98" w:rsidP="005B6091">
            <w:pPr>
              <w:rPr>
                <w:rFonts w:cs="Arial"/>
                <w:sz w:val="22"/>
                <w:szCs w:val="22"/>
              </w:rPr>
            </w:pPr>
          </w:p>
          <w:p w:rsidR="00E02C98" w:rsidRPr="00E02C98" w:rsidRDefault="00E02C98" w:rsidP="00E02C98">
            <w:pPr>
              <w:pStyle w:val="ListParagraph"/>
              <w:numPr>
                <w:ilvl w:val="0"/>
                <w:numId w:val="18"/>
              </w:numPr>
              <w:rPr>
                <w:rFonts w:cs="Arial"/>
                <w:sz w:val="22"/>
              </w:rPr>
            </w:pPr>
            <w:r w:rsidRPr="00E02C98">
              <w:rPr>
                <w:rFonts w:cs="Arial"/>
                <w:b/>
                <w:sz w:val="22"/>
              </w:rPr>
              <w:t xml:space="preserve">Care </w:t>
            </w:r>
            <w:r w:rsidR="00895BAA" w:rsidRPr="00E02C98">
              <w:rPr>
                <w:rFonts w:cs="Arial"/>
                <w:b/>
                <w:sz w:val="22"/>
              </w:rPr>
              <w:t>Debt</w:t>
            </w:r>
            <w:r w:rsidR="00895BAA">
              <w:rPr>
                <w:rFonts w:cs="Arial"/>
                <w:b/>
                <w:sz w:val="22"/>
              </w:rPr>
              <w:t xml:space="preserve"> </w:t>
            </w:r>
            <w:r w:rsidR="00895BAA" w:rsidRPr="00895BAA">
              <w:rPr>
                <w:rFonts w:cs="Arial"/>
                <w:sz w:val="22"/>
              </w:rPr>
              <w:t xml:space="preserve">- </w:t>
            </w:r>
            <w:r w:rsidR="00895BAA" w:rsidRPr="00E02C98">
              <w:rPr>
                <w:rFonts w:cs="Arial"/>
                <w:sz w:val="22"/>
              </w:rPr>
              <w:t>debt</w:t>
            </w:r>
            <w:r>
              <w:rPr>
                <w:rFonts w:cs="Arial"/>
                <w:sz w:val="22"/>
              </w:rPr>
              <w:t xml:space="preserve"> </w:t>
            </w:r>
            <w:r w:rsidR="006601BA" w:rsidRPr="00E02C98">
              <w:rPr>
                <w:rFonts w:cs="Arial"/>
                <w:sz w:val="22"/>
              </w:rPr>
              <w:t xml:space="preserve">which has been raised in respect of the provision of </w:t>
            </w:r>
            <w:r w:rsidR="00493484">
              <w:rPr>
                <w:rFonts w:cs="Arial"/>
                <w:sz w:val="22"/>
              </w:rPr>
              <w:t xml:space="preserve">social </w:t>
            </w:r>
            <w:r w:rsidR="006601BA" w:rsidRPr="00E02C98">
              <w:rPr>
                <w:rFonts w:cs="Arial"/>
                <w:sz w:val="22"/>
              </w:rPr>
              <w:t>care</w:t>
            </w:r>
            <w:r w:rsidRPr="00E02C98">
              <w:rPr>
                <w:rFonts w:cs="Arial"/>
                <w:sz w:val="22"/>
              </w:rPr>
              <w:t>.</w:t>
            </w:r>
          </w:p>
          <w:p w:rsidR="00E02C98" w:rsidRPr="00E02C98" w:rsidRDefault="00E02C98" w:rsidP="00E02C98">
            <w:pPr>
              <w:pStyle w:val="ListParagraph"/>
              <w:numPr>
                <w:ilvl w:val="0"/>
                <w:numId w:val="18"/>
              </w:numPr>
              <w:rPr>
                <w:rFonts w:cs="Arial"/>
                <w:sz w:val="22"/>
              </w:rPr>
            </w:pPr>
            <w:r w:rsidRPr="00E02C98">
              <w:rPr>
                <w:rFonts w:cs="Arial"/>
                <w:b/>
                <w:sz w:val="22"/>
              </w:rPr>
              <w:t>Corporate Debt</w:t>
            </w:r>
            <w:r w:rsidR="00895BAA">
              <w:rPr>
                <w:rFonts w:cs="Arial"/>
                <w:b/>
                <w:sz w:val="22"/>
              </w:rPr>
              <w:t xml:space="preserve"> </w:t>
            </w:r>
            <w:r w:rsidR="00895BAA" w:rsidRPr="00895BAA">
              <w:rPr>
                <w:rFonts w:cs="Arial"/>
                <w:sz w:val="22"/>
              </w:rPr>
              <w:t>-</w:t>
            </w:r>
            <w:r w:rsidRPr="00895BAA">
              <w:rPr>
                <w:rFonts w:cs="Arial"/>
                <w:sz w:val="22"/>
              </w:rPr>
              <w:t xml:space="preserve"> </w:t>
            </w:r>
            <w:r w:rsidRPr="00E02C98">
              <w:rPr>
                <w:rFonts w:cs="Arial"/>
                <w:sz w:val="22"/>
              </w:rPr>
              <w:t>all other debt of the council</w:t>
            </w:r>
            <w:r w:rsidR="006601BA" w:rsidRPr="00E02C98">
              <w:rPr>
                <w:rFonts w:cs="Arial"/>
                <w:sz w:val="22"/>
              </w:rPr>
              <w:t>.</w:t>
            </w:r>
          </w:p>
          <w:p w:rsidR="00E02C98" w:rsidRDefault="00E02C98" w:rsidP="005B6091">
            <w:pPr>
              <w:rPr>
                <w:rFonts w:cs="Arial"/>
                <w:sz w:val="22"/>
                <w:szCs w:val="22"/>
              </w:rPr>
            </w:pPr>
          </w:p>
          <w:p w:rsidR="006601BA" w:rsidRPr="00493484" w:rsidRDefault="00F206E1" w:rsidP="005B6091">
            <w:pPr>
              <w:rPr>
                <w:rFonts w:cs="Arial"/>
                <w:sz w:val="22"/>
                <w:szCs w:val="22"/>
              </w:rPr>
            </w:pPr>
            <w:r w:rsidRPr="007B28EC">
              <w:rPr>
                <w:rFonts w:cs="Arial"/>
                <w:sz w:val="22"/>
                <w:szCs w:val="22"/>
              </w:rPr>
              <w:t>Although</w:t>
            </w:r>
            <w:r w:rsidR="006601BA" w:rsidRPr="007B28EC">
              <w:rPr>
                <w:rFonts w:cs="Arial"/>
                <w:sz w:val="22"/>
                <w:szCs w:val="22"/>
              </w:rPr>
              <w:t xml:space="preserve"> '</w:t>
            </w:r>
            <w:r w:rsidRPr="007B28EC">
              <w:rPr>
                <w:rFonts w:cs="Arial"/>
                <w:sz w:val="22"/>
                <w:szCs w:val="22"/>
              </w:rPr>
              <w:t>c</w:t>
            </w:r>
            <w:r w:rsidR="006601BA" w:rsidRPr="007B28EC">
              <w:rPr>
                <w:rFonts w:cs="Arial"/>
                <w:sz w:val="22"/>
                <w:szCs w:val="22"/>
              </w:rPr>
              <w:t xml:space="preserve">are </w:t>
            </w:r>
            <w:r w:rsidRPr="007B28EC">
              <w:rPr>
                <w:rFonts w:cs="Arial"/>
                <w:sz w:val="22"/>
                <w:szCs w:val="22"/>
              </w:rPr>
              <w:t>d</w:t>
            </w:r>
            <w:r w:rsidR="006601BA" w:rsidRPr="007B28EC">
              <w:rPr>
                <w:rFonts w:cs="Arial"/>
                <w:sz w:val="22"/>
                <w:szCs w:val="22"/>
              </w:rPr>
              <w:t xml:space="preserve">ebt' only makes </w:t>
            </w:r>
            <w:r w:rsidR="00C543EA" w:rsidRPr="007B28EC">
              <w:rPr>
                <w:rFonts w:cs="Arial"/>
                <w:sz w:val="22"/>
                <w:szCs w:val="22"/>
              </w:rPr>
              <w:t xml:space="preserve">up </w:t>
            </w:r>
            <w:r w:rsidR="006601BA" w:rsidRPr="007B28EC">
              <w:rPr>
                <w:rFonts w:cs="Arial"/>
                <w:sz w:val="22"/>
                <w:szCs w:val="22"/>
              </w:rPr>
              <w:t xml:space="preserve">approximately 20% of the </w:t>
            </w:r>
            <w:r w:rsidR="006601BA" w:rsidRPr="007B28EC">
              <w:rPr>
                <w:rFonts w:cs="Arial"/>
                <w:sz w:val="22"/>
                <w:szCs w:val="22"/>
                <w:u w:val="single"/>
              </w:rPr>
              <w:t>value</w:t>
            </w:r>
            <w:r w:rsidR="006601BA" w:rsidRPr="007B28EC">
              <w:rPr>
                <w:rFonts w:cs="Arial"/>
                <w:sz w:val="22"/>
                <w:szCs w:val="22"/>
              </w:rPr>
              <w:t xml:space="preserve"> of the 'total debt raised per annum' </w:t>
            </w:r>
            <w:r w:rsidR="00C543EA" w:rsidRPr="007B28EC">
              <w:rPr>
                <w:rFonts w:cs="Arial"/>
                <w:sz w:val="22"/>
                <w:szCs w:val="22"/>
              </w:rPr>
              <w:t xml:space="preserve">it </w:t>
            </w:r>
            <w:r w:rsidRPr="007B28EC">
              <w:rPr>
                <w:rFonts w:cs="Arial"/>
                <w:sz w:val="22"/>
                <w:szCs w:val="22"/>
              </w:rPr>
              <w:t xml:space="preserve">consists of </w:t>
            </w:r>
            <w:r w:rsidR="006601BA" w:rsidRPr="007B28EC">
              <w:rPr>
                <w:rFonts w:cs="Arial"/>
                <w:sz w:val="22"/>
                <w:szCs w:val="22"/>
              </w:rPr>
              <w:t xml:space="preserve">approximately 80% of the total </w:t>
            </w:r>
            <w:r w:rsidR="006601BA" w:rsidRPr="007B28EC">
              <w:rPr>
                <w:rFonts w:cs="Arial"/>
                <w:sz w:val="22"/>
                <w:szCs w:val="22"/>
                <w:u w:val="single"/>
              </w:rPr>
              <w:t>number of invoices</w:t>
            </w:r>
            <w:r w:rsidR="00E02C98" w:rsidRPr="007B28EC">
              <w:rPr>
                <w:rFonts w:cs="Arial"/>
                <w:sz w:val="22"/>
                <w:szCs w:val="22"/>
                <w:u w:val="single"/>
              </w:rPr>
              <w:t>.</w:t>
            </w:r>
            <w:r w:rsidR="00E02C98" w:rsidRPr="007B28EC">
              <w:rPr>
                <w:rFonts w:cs="Arial"/>
                <w:sz w:val="22"/>
                <w:szCs w:val="22"/>
              </w:rPr>
              <w:t xml:space="preserve">  </w:t>
            </w:r>
            <w:r w:rsidR="00493484" w:rsidRPr="007B28EC">
              <w:rPr>
                <w:rFonts w:cs="Arial"/>
                <w:sz w:val="22"/>
                <w:szCs w:val="22"/>
              </w:rPr>
              <w:t>I</w:t>
            </w:r>
            <w:r w:rsidR="00E02C98" w:rsidRPr="007B28EC">
              <w:rPr>
                <w:rFonts w:cs="Arial"/>
                <w:sz w:val="22"/>
                <w:szCs w:val="22"/>
              </w:rPr>
              <w:t>t is care debt which is the most difficult debt to recover</w:t>
            </w:r>
            <w:r w:rsidR="003677D8" w:rsidRPr="007B28EC">
              <w:rPr>
                <w:rFonts w:cs="Arial"/>
                <w:sz w:val="22"/>
                <w:szCs w:val="22"/>
              </w:rPr>
              <w:t xml:space="preserve"> due to the volumes and the sensitive nature of the debt</w:t>
            </w:r>
            <w:r w:rsidR="00E02C98" w:rsidRPr="007B28EC">
              <w:rPr>
                <w:rFonts w:cs="Arial"/>
                <w:sz w:val="22"/>
                <w:szCs w:val="22"/>
              </w:rPr>
              <w:t>.</w:t>
            </w:r>
            <w:r w:rsidR="00E02C98" w:rsidRPr="00493484">
              <w:rPr>
                <w:rFonts w:cs="Arial"/>
                <w:sz w:val="22"/>
                <w:szCs w:val="22"/>
              </w:rPr>
              <w:t xml:space="preserve">  </w:t>
            </w:r>
          </w:p>
          <w:p w:rsidR="006601BA" w:rsidRDefault="006601BA" w:rsidP="005B6091">
            <w:pPr>
              <w:rPr>
                <w:rFonts w:cs="Arial"/>
                <w:sz w:val="22"/>
                <w:szCs w:val="22"/>
              </w:rPr>
            </w:pPr>
          </w:p>
          <w:p w:rsidR="00CF7145" w:rsidRDefault="00D33957" w:rsidP="00A73099">
            <w:pPr>
              <w:rPr>
                <w:rFonts w:cs="Arial"/>
                <w:sz w:val="22"/>
                <w:szCs w:val="22"/>
              </w:rPr>
            </w:pPr>
            <w:r>
              <w:rPr>
                <w:rFonts w:cs="Arial"/>
                <w:sz w:val="22"/>
                <w:szCs w:val="22"/>
              </w:rPr>
              <w:t xml:space="preserve">The majority of debt owed to the County Council is from within 6 months. The graph below shows the breakdown of debt according to how long it has been outstanding. However it is clear that the longer the debt is outstanding, the harder it is to collect. </w:t>
            </w:r>
            <w:r w:rsidR="0060102E">
              <w:rPr>
                <w:rFonts w:cs="Arial"/>
                <w:sz w:val="22"/>
                <w:szCs w:val="22"/>
              </w:rPr>
              <w:t>It is therefore important that significant focus is placed on recovering debts as early as possible in the cycle.</w:t>
            </w:r>
          </w:p>
          <w:p w:rsidR="00D33957" w:rsidRDefault="00D33957" w:rsidP="00A73099">
            <w:pPr>
              <w:rPr>
                <w:rFonts w:cs="Arial"/>
                <w:sz w:val="22"/>
                <w:szCs w:val="22"/>
              </w:rPr>
            </w:pPr>
          </w:p>
          <w:p w:rsidR="00D33957" w:rsidRDefault="00D33957" w:rsidP="00D33957">
            <w:pPr>
              <w:jc w:val="both"/>
            </w:pPr>
            <w:r>
              <w:rPr>
                <w:noProof/>
              </w:rPr>
              <w:lastRenderedPageBreak/>
              <w:drawing>
                <wp:inline distT="0" distB="0" distL="0" distR="0" wp14:anchorId="51834F90" wp14:editId="35902D4A">
                  <wp:extent cx="5829300" cy="30575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3957" w:rsidRDefault="00D33957" w:rsidP="00A73099">
            <w:pPr>
              <w:rPr>
                <w:rFonts w:cs="Arial"/>
                <w:sz w:val="22"/>
                <w:szCs w:val="22"/>
              </w:rPr>
            </w:pPr>
          </w:p>
          <w:p w:rsidR="00D33957" w:rsidRDefault="00D33957" w:rsidP="00A73099">
            <w:pPr>
              <w:rPr>
                <w:rFonts w:cs="Arial"/>
                <w:sz w:val="22"/>
                <w:szCs w:val="22"/>
              </w:rPr>
            </w:pPr>
          </w:p>
          <w:p w:rsidR="00D33957" w:rsidRPr="00D33957" w:rsidRDefault="00D33957" w:rsidP="00A73099">
            <w:pPr>
              <w:rPr>
                <w:rFonts w:cs="Arial"/>
                <w:sz w:val="22"/>
                <w:szCs w:val="22"/>
              </w:rPr>
            </w:pPr>
            <w:r>
              <w:rPr>
                <w:noProof/>
              </w:rPr>
              <w:drawing>
                <wp:inline distT="0" distB="0" distL="0" distR="0" wp14:anchorId="772651E3" wp14:editId="142061C9">
                  <wp:extent cx="5895975" cy="31623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04FF" w:rsidRDefault="009104FF" w:rsidP="00A73099">
            <w:pPr>
              <w:rPr>
                <w:rFonts w:cs="Arial"/>
                <w:b/>
                <w:sz w:val="22"/>
                <w:szCs w:val="22"/>
                <w:u w:val="single"/>
              </w:rPr>
            </w:pPr>
          </w:p>
          <w:p w:rsidR="00A73099" w:rsidRPr="00766098" w:rsidRDefault="00A73099" w:rsidP="00A73099">
            <w:pPr>
              <w:rPr>
                <w:rFonts w:cs="Arial"/>
                <w:b/>
                <w:sz w:val="22"/>
                <w:szCs w:val="22"/>
                <w:u w:val="single"/>
              </w:rPr>
            </w:pPr>
            <w:r w:rsidRPr="00766098">
              <w:rPr>
                <w:rFonts w:cs="Arial"/>
                <w:b/>
                <w:sz w:val="22"/>
                <w:szCs w:val="22"/>
                <w:u w:val="single"/>
              </w:rPr>
              <w:t>Why is this indicator under-performing?</w:t>
            </w:r>
          </w:p>
          <w:p w:rsidR="00B50F34" w:rsidRDefault="00B50F34" w:rsidP="005B6091">
            <w:pPr>
              <w:rPr>
                <w:rFonts w:cs="Arial"/>
                <w:sz w:val="22"/>
                <w:szCs w:val="22"/>
              </w:rPr>
            </w:pPr>
          </w:p>
          <w:p w:rsidR="00294468" w:rsidRDefault="005B6091" w:rsidP="005B6091">
            <w:pPr>
              <w:rPr>
                <w:rFonts w:cs="Arial"/>
                <w:sz w:val="22"/>
                <w:szCs w:val="22"/>
              </w:rPr>
            </w:pPr>
            <w:r w:rsidRPr="00766098">
              <w:rPr>
                <w:rFonts w:cs="Arial"/>
                <w:sz w:val="22"/>
                <w:szCs w:val="22"/>
              </w:rPr>
              <w:t>This</w:t>
            </w:r>
            <w:r>
              <w:rPr>
                <w:rFonts w:cs="Arial"/>
                <w:sz w:val="22"/>
                <w:szCs w:val="22"/>
              </w:rPr>
              <w:t xml:space="preserve"> indicator h</w:t>
            </w:r>
            <w:r w:rsidRPr="00766098">
              <w:rPr>
                <w:rFonts w:cs="Arial"/>
                <w:sz w:val="22"/>
                <w:szCs w:val="22"/>
              </w:rPr>
              <w:t xml:space="preserve">as </w:t>
            </w:r>
            <w:r w:rsidR="00294468">
              <w:rPr>
                <w:rFonts w:cs="Arial"/>
                <w:sz w:val="22"/>
                <w:szCs w:val="22"/>
              </w:rPr>
              <w:t>increased over the last quarter due to the following factors:</w:t>
            </w:r>
          </w:p>
          <w:p w:rsidR="00294468" w:rsidRDefault="00294468" w:rsidP="005B6091">
            <w:pPr>
              <w:rPr>
                <w:rFonts w:cs="Arial"/>
                <w:sz w:val="22"/>
                <w:szCs w:val="22"/>
              </w:rPr>
            </w:pPr>
          </w:p>
          <w:p w:rsidR="004F478E" w:rsidRDefault="004F478E" w:rsidP="007B28EC">
            <w:pPr>
              <w:pStyle w:val="ListParagraph"/>
              <w:numPr>
                <w:ilvl w:val="0"/>
                <w:numId w:val="23"/>
              </w:numPr>
              <w:rPr>
                <w:rFonts w:cs="Arial"/>
                <w:sz w:val="22"/>
              </w:rPr>
            </w:pPr>
            <w:r>
              <w:rPr>
                <w:rFonts w:cs="Arial"/>
                <w:sz w:val="22"/>
              </w:rPr>
              <w:t xml:space="preserve">Typically each year there is a spike in outstanding </w:t>
            </w:r>
            <w:r w:rsidR="007B28EC">
              <w:rPr>
                <w:rFonts w:cs="Arial"/>
                <w:sz w:val="22"/>
              </w:rPr>
              <w:t xml:space="preserve">debts in October due to </w:t>
            </w:r>
            <w:r w:rsidR="00620D27">
              <w:rPr>
                <w:rFonts w:cs="Arial"/>
                <w:sz w:val="22"/>
              </w:rPr>
              <w:t>invoices</w:t>
            </w:r>
            <w:r>
              <w:rPr>
                <w:rFonts w:cs="Arial"/>
                <w:sz w:val="22"/>
              </w:rPr>
              <w:t xml:space="preserve"> raised </w:t>
            </w:r>
            <w:r w:rsidR="00620D27">
              <w:rPr>
                <w:rFonts w:cs="Arial"/>
                <w:sz w:val="22"/>
              </w:rPr>
              <w:t>by</w:t>
            </w:r>
            <w:r>
              <w:rPr>
                <w:rFonts w:cs="Arial"/>
                <w:sz w:val="22"/>
              </w:rPr>
              <w:t xml:space="preserve"> schools</w:t>
            </w:r>
            <w:r w:rsidR="007B28EC">
              <w:rPr>
                <w:rFonts w:cs="Arial"/>
                <w:sz w:val="22"/>
              </w:rPr>
              <w:t xml:space="preserve"> at the start of each academic year</w:t>
            </w:r>
            <w:r>
              <w:rPr>
                <w:rFonts w:cs="Arial"/>
                <w:sz w:val="22"/>
              </w:rPr>
              <w:t xml:space="preserve">. In September 2014 </w:t>
            </w:r>
            <w:r w:rsidR="00620D27">
              <w:rPr>
                <w:rFonts w:cs="Arial"/>
                <w:sz w:val="22"/>
              </w:rPr>
              <w:t>24,000 invoices (£30m) were raised compared with 15,000 (£11m) in August 2014. These</w:t>
            </w:r>
            <w:r>
              <w:rPr>
                <w:rFonts w:cs="Arial"/>
                <w:sz w:val="22"/>
              </w:rPr>
              <w:t xml:space="preserve"> will generally be paid on an instalment basis by parents for services such as school transport and school</w:t>
            </w:r>
            <w:r w:rsidR="007B28EC">
              <w:rPr>
                <w:rFonts w:cs="Arial"/>
                <w:sz w:val="22"/>
              </w:rPr>
              <w:t xml:space="preserve"> dinners. When a debt exceeds 35</w:t>
            </w:r>
            <w:r>
              <w:rPr>
                <w:rFonts w:cs="Arial"/>
                <w:sz w:val="22"/>
              </w:rPr>
              <w:t xml:space="preserve"> days it becomes an</w:t>
            </w:r>
            <w:r w:rsidR="009D29D6">
              <w:rPr>
                <w:rFonts w:cs="Arial"/>
                <w:sz w:val="22"/>
              </w:rPr>
              <w:t xml:space="preserve"> </w:t>
            </w:r>
            <w:r>
              <w:rPr>
                <w:rFonts w:cs="Arial"/>
                <w:sz w:val="22"/>
              </w:rPr>
              <w:t>outstanding debt and therefore all those debts that were raised on an instalment basis result in a large increase in the outstanding debt total</w:t>
            </w:r>
            <w:r w:rsidR="00D224CB">
              <w:rPr>
                <w:rFonts w:cs="Arial"/>
                <w:sz w:val="22"/>
              </w:rPr>
              <w:t>,</w:t>
            </w:r>
            <w:r w:rsidR="00D224CB">
              <w:rPr>
                <w:rFonts w:cs="Arial"/>
                <w:color w:val="FF0000"/>
                <w:sz w:val="22"/>
              </w:rPr>
              <w:t xml:space="preserve"> </w:t>
            </w:r>
            <w:r w:rsidR="00D224CB" w:rsidRPr="009D29D6">
              <w:rPr>
                <w:rFonts w:cs="Arial"/>
                <w:sz w:val="22"/>
              </w:rPr>
              <w:t>even though they are not considered a problem debt.</w:t>
            </w:r>
          </w:p>
          <w:p w:rsidR="007B28EC" w:rsidRPr="007B28EC" w:rsidRDefault="007B28EC" w:rsidP="007B28EC">
            <w:pPr>
              <w:pStyle w:val="ListParagraph"/>
              <w:rPr>
                <w:rFonts w:cs="Arial"/>
                <w:sz w:val="22"/>
              </w:rPr>
            </w:pPr>
          </w:p>
          <w:p w:rsidR="00294468" w:rsidRDefault="003B588E" w:rsidP="005B6091">
            <w:pPr>
              <w:pStyle w:val="ListParagraph"/>
              <w:numPr>
                <w:ilvl w:val="0"/>
                <w:numId w:val="23"/>
              </w:numPr>
              <w:rPr>
                <w:rFonts w:cs="Arial"/>
                <w:sz w:val="22"/>
              </w:rPr>
            </w:pPr>
            <w:r>
              <w:rPr>
                <w:rFonts w:cs="Arial"/>
                <w:sz w:val="22"/>
              </w:rPr>
              <w:t>The use of direct debits is a critical factor in the debt collection process. Th</w:t>
            </w:r>
            <w:r w:rsidR="007B28EC">
              <w:rPr>
                <w:rFonts w:cs="Arial"/>
                <w:sz w:val="22"/>
              </w:rPr>
              <w:t xml:space="preserve">e Authority continues to </w:t>
            </w:r>
            <w:r>
              <w:rPr>
                <w:rFonts w:cs="Arial"/>
                <w:sz w:val="22"/>
              </w:rPr>
              <w:t>encourag</w:t>
            </w:r>
            <w:r w:rsidR="007B28EC">
              <w:rPr>
                <w:rFonts w:cs="Arial"/>
                <w:sz w:val="22"/>
              </w:rPr>
              <w:t>e</w:t>
            </w:r>
            <w:r>
              <w:rPr>
                <w:rFonts w:cs="Arial"/>
                <w:sz w:val="22"/>
              </w:rPr>
              <w:t xml:space="preserve"> debtors to </w:t>
            </w:r>
            <w:r w:rsidR="007B28EC">
              <w:rPr>
                <w:rFonts w:cs="Arial"/>
                <w:sz w:val="22"/>
              </w:rPr>
              <w:t>agree to be set</w:t>
            </w:r>
            <w:r>
              <w:rPr>
                <w:rFonts w:cs="Arial"/>
                <w:sz w:val="22"/>
              </w:rPr>
              <w:t xml:space="preserve"> up for payment via direct debit as th</w:t>
            </w:r>
            <w:r w:rsidR="007B28EC">
              <w:rPr>
                <w:rFonts w:cs="Arial"/>
                <w:sz w:val="22"/>
              </w:rPr>
              <w:t xml:space="preserve">e probability of recovering </w:t>
            </w:r>
            <w:r>
              <w:rPr>
                <w:rFonts w:cs="Arial"/>
                <w:sz w:val="22"/>
              </w:rPr>
              <w:t xml:space="preserve">debt is substantially higher </w:t>
            </w:r>
            <w:r w:rsidR="007B28EC">
              <w:rPr>
                <w:rFonts w:cs="Arial"/>
                <w:sz w:val="22"/>
              </w:rPr>
              <w:t>when using this payment method</w:t>
            </w:r>
            <w:r>
              <w:rPr>
                <w:rFonts w:cs="Arial"/>
                <w:sz w:val="22"/>
              </w:rPr>
              <w:t>. The use of direct debits</w:t>
            </w:r>
            <w:r w:rsidR="007B28EC">
              <w:rPr>
                <w:rFonts w:cs="Arial"/>
                <w:sz w:val="22"/>
              </w:rPr>
              <w:t xml:space="preserve"> </w:t>
            </w:r>
            <w:r>
              <w:rPr>
                <w:rFonts w:cs="Arial"/>
                <w:sz w:val="22"/>
              </w:rPr>
              <w:t xml:space="preserve">means less use of the Debt Team resource to chase debts, as it is more likely that it will be paid. In September 2014 the direct debit take up rate </w:t>
            </w:r>
            <w:r w:rsidR="00620D27">
              <w:rPr>
                <w:rFonts w:cs="Arial"/>
                <w:sz w:val="22"/>
              </w:rPr>
              <w:t xml:space="preserve">for care </w:t>
            </w:r>
            <w:r>
              <w:rPr>
                <w:rFonts w:cs="Arial"/>
                <w:sz w:val="22"/>
              </w:rPr>
              <w:t xml:space="preserve">was 58.27%, whereas in December 2014 it was 57.29% and has now fallen to 54.72%. </w:t>
            </w:r>
            <w:r w:rsidR="0060102E">
              <w:rPr>
                <w:rFonts w:cs="Arial"/>
                <w:sz w:val="22"/>
              </w:rPr>
              <w:t xml:space="preserve">The direct debit take-up has been affected by the implementation of the replacement care systems and more information is provided later in the report.  </w:t>
            </w:r>
            <w:r w:rsidR="009D29D6">
              <w:rPr>
                <w:rFonts w:cs="Arial"/>
                <w:sz w:val="22"/>
              </w:rPr>
              <w:t>A performance indicator has been</w:t>
            </w:r>
            <w:r w:rsidR="00D224CB" w:rsidRPr="009D29D6">
              <w:rPr>
                <w:rFonts w:cs="Arial"/>
                <w:sz w:val="22"/>
              </w:rPr>
              <w:t xml:space="preserve"> introduced for Coun</w:t>
            </w:r>
            <w:r w:rsidR="009D29D6">
              <w:rPr>
                <w:rFonts w:cs="Arial"/>
                <w:sz w:val="22"/>
              </w:rPr>
              <w:t>ty Benefit Service to increase direct debit</w:t>
            </w:r>
            <w:r w:rsidR="00D224CB" w:rsidRPr="009D29D6">
              <w:rPr>
                <w:rFonts w:cs="Arial"/>
                <w:sz w:val="22"/>
              </w:rPr>
              <w:t xml:space="preserve"> take-up</w:t>
            </w:r>
          </w:p>
          <w:p w:rsidR="007B28EC" w:rsidRPr="007B28EC" w:rsidRDefault="007B28EC" w:rsidP="007B28EC">
            <w:pPr>
              <w:pStyle w:val="ListParagraph"/>
              <w:rPr>
                <w:rFonts w:cs="Arial"/>
                <w:sz w:val="22"/>
              </w:rPr>
            </w:pPr>
          </w:p>
          <w:p w:rsidR="007B28EC" w:rsidRPr="007B28EC" w:rsidRDefault="007B28EC" w:rsidP="007B28EC">
            <w:pPr>
              <w:pStyle w:val="ListParagraph"/>
              <w:numPr>
                <w:ilvl w:val="0"/>
                <w:numId w:val="23"/>
              </w:numPr>
              <w:rPr>
                <w:rFonts w:cs="Arial"/>
                <w:sz w:val="22"/>
              </w:rPr>
            </w:pPr>
            <w:r>
              <w:rPr>
                <w:rFonts w:cs="Arial"/>
                <w:sz w:val="22"/>
              </w:rPr>
              <w:t xml:space="preserve">Care debt continues to be the primary reason for increases in the outstanding debt amount. The Authority on average each month has </w:t>
            </w:r>
            <w:r w:rsidRPr="007F1926">
              <w:rPr>
                <w:rFonts w:cs="Arial"/>
                <w:sz w:val="22"/>
              </w:rPr>
              <w:t>£0.4m</w:t>
            </w:r>
            <w:r>
              <w:rPr>
                <w:rFonts w:cs="Arial"/>
                <w:sz w:val="22"/>
              </w:rPr>
              <w:t xml:space="preserve"> debt that is unpaid. The work that is taking place to improv</w:t>
            </w:r>
            <w:r w:rsidR="009D29D6">
              <w:rPr>
                <w:rFonts w:cs="Arial"/>
                <w:sz w:val="22"/>
              </w:rPr>
              <w:t>e d</w:t>
            </w:r>
            <w:r>
              <w:rPr>
                <w:rFonts w:cs="Arial"/>
                <w:sz w:val="22"/>
              </w:rPr>
              <w:t xml:space="preserve">ebt </w:t>
            </w:r>
            <w:r w:rsidR="009D29D6">
              <w:rPr>
                <w:rFonts w:cs="Arial"/>
                <w:sz w:val="22"/>
              </w:rPr>
              <w:t>m</w:t>
            </w:r>
            <w:r w:rsidRPr="009D29D6">
              <w:rPr>
                <w:rFonts w:cs="Arial"/>
                <w:sz w:val="22"/>
              </w:rPr>
              <w:t xml:space="preserve">anagement </w:t>
            </w:r>
            <w:r w:rsidR="00D224CB" w:rsidRPr="009D29D6">
              <w:rPr>
                <w:rFonts w:cs="Arial"/>
                <w:sz w:val="22"/>
              </w:rPr>
              <w:t xml:space="preserve">systems, </w:t>
            </w:r>
            <w:r w:rsidRPr="009D29D6">
              <w:rPr>
                <w:rFonts w:cs="Arial"/>
                <w:sz w:val="22"/>
              </w:rPr>
              <w:t>proce</w:t>
            </w:r>
            <w:r w:rsidR="00D90BE3" w:rsidRPr="009D29D6">
              <w:rPr>
                <w:rFonts w:cs="Arial"/>
                <w:sz w:val="22"/>
              </w:rPr>
              <w:t xml:space="preserve">sses </w:t>
            </w:r>
            <w:r w:rsidR="00D90BE3">
              <w:rPr>
                <w:rFonts w:cs="Arial"/>
                <w:sz w:val="22"/>
              </w:rPr>
              <w:t>and initiatives such as paperless</w:t>
            </w:r>
            <w:r>
              <w:rPr>
                <w:rFonts w:cs="Arial"/>
                <w:sz w:val="22"/>
              </w:rPr>
              <w:t xml:space="preserve"> direct debits </w:t>
            </w:r>
            <w:r w:rsidR="0060102E">
              <w:rPr>
                <w:rFonts w:cs="Arial"/>
                <w:sz w:val="22"/>
              </w:rPr>
              <w:t xml:space="preserve">and more timely assessment processes </w:t>
            </w:r>
            <w:r>
              <w:rPr>
                <w:rFonts w:cs="Arial"/>
                <w:sz w:val="22"/>
              </w:rPr>
              <w:t>will result in</w:t>
            </w:r>
            <w:r w:rsidR="00D90BE3">
              <w:rPr>
                <w:rFonts w:cs="Arial"/>
                <w:sz w:val="22"/>
              </w:rPr>
              <w:t xml:space="preserve"> a reduction in </w:t>
            </w:r>
            <w:r w:rsidR="0060102E">
              <w:rPr>
                <w:rFonts w:cs="Arial"/>
                <w:sz w:val="22"/>
              </w:rPr>
              <w:t>client</w:t>
            </w:r>
            <w:r>
              <w:rPr>
                <w:rFonts w:cs="Arial"/>
                <w:sz w:val="22"/>
              </w:rPr>
              <w:t xml:space="preserve">s not settling their accounts. </w:t>
            </w:r>
          </w:p>
          <w:p w:rsidR="007B28EC" w:rsidRDefault="007B28EC" w:rsidP="007B28EC">
            <w:pPr>
              <w:rPr>
                <w:rFonts w:cs="Arial"/>
                <w:sz w:val="22"/>
                <w:szCs w:val="22"/>
              </w:rPr>
            </w:pPr>
            <w:r>
              <w:rPr>
                <w:rFonts w:cs="Arial"/>
                <w:sz w:val="22"/>
                <w:szCs w:val="22"/>
              </w:rPr>
              <w:t>An increase in the value of care debt arrears has been a steady trend since March 2010. It was at this point that a change in policy transferred the risk for care arrears (the non - payment of invoices for residential care costs) from care providers to LCC. Previously, LCC had paid residential care homes net (only paying for that part of any care package not funded by service user contributions) and suppliers billed service users direct for their contributions. The new approach involved paying providers gross which ensured they received 100% of the agreed rate, but simultaneously transferred risk and responsibility for recovering service user care contributions to LCC.  The direct outcome has been a significant increase in the value and volume of invoices relating to social care charging and a deteriorating care arrears situation.</w:t>
            </w:r>
          </w:p>
          <w:p w:rsidR="007B28EC" w:rsidRDefault="007B28EC" w:rsidP="007B28EC">
            <w:pPr>
              <w:rPr>
                <w:rFonts w:cs="Arial"/>
                <w:sz w:val="22"/>
                <w:szCs w:val="22"/>
              </w:rPr>
            </w:pPr>
          </w:p>
          <w:p w:rsidR="005B6091" w:rsidRDefault="007B28EC" w:rsidP="007B28EC">
            <w:pPr>
              <w:rPr>
                <w:rFonts w:cs="Arial"/>
                <w:color w:val="FF0000"/>
                <w:sz w:val="22"/>
              </w:rPr>
            </w:pPr>
            <w:r>
              <w:rPr>
                <w:rFonts w:cs="Arial"/>
                <w:sz w:val="22"/>
                <w:szCs w:val="22"/>
              </w:rPr>
              <w:lastRenderedPageBreak/>
              <w:t>A new invoice is raised every month to each service user assessed as able to make a contribution to their care costs. Each invoice not paid within 35 days automatically becomes an outstanding invoice</w:t>
            </w:r>
            <w:r w:rsidR="00D224CB">
              <w:rPr>
                <w:rFonts w:cs="Arial"/>
                <w:sz w:val="22"/>
              </w:rPr>
              <w:t xml:space="preserve"> </w:t>
            </w:r>
            <w:r w:rsidR="00D224CB" w:rsidRPr="0098567F">
              <w:rPr>
                <w:rFonts w:cs="Arial"/>
                <w:sz w:val="22"/>
              </w:rPr>
              <w:t>and is transferred to the debt team for collection action.</w:t>
            </w:r>
          </w:p>
          <w:p w:rsidR="0098567F" w:rsidRPr="0098567F" w:rsidRDefault="0098567F" w:rsidP="007B28EC">
            <w:pPr>
              <w:rPr>
                <w:rFonts w:cs="Arial"/>
                <w:color w:val="FF0000"/>
                <w:sz w:val="22"/>
              </w:rPr>
            </w:pPr>
          </w:p>
        </w:tc>
      </w:tr>
      <w:tr w:rsidR="00077B59" w:rsidRPr="001E430D" w:rsidTr="00EA4206">
        <w:tc>
          <w:tcPr>
            <w:tcW w:w="10237" w:type="dxa"/>
            <w:gridSpan w:val="2"/>
          </w:tcPr>
          <w:p w:rsidR="00077B59" w:rsidRPr="001E430D" w:rsidRDefault="008A534C" w:rsidP="00A87958">
            <w:pPr>
              <w:rPr>
                <w:b/>
                <w:sz w:val="22"/>
                <w:szCs w:val="22"/>
              </w:rPr>
            </w:pPr>
            <w:r>
              <w:rPr>
                <w:b/>
                <w:sz w:val="22"/>
                <w:szCs w:val="22"/>
              </w:rPr>
              <w:lastRenderedPageBreak/>
              <w:t>What progress has been made since the last report presented to C</w:t>
            </w:r>
            <w:r w:rsidR="00A87958">
              <w:rPr>
                <w:b/>
                <w:sz w:val="22"/>
                <w:szCs w:val="22"/>
              </w:rPr>
              <w:t xml:space="preserve">abinet Committee on Performance Improvement (CCPI) </w:t>
            </w:r>
            <w:r>
              <w:rPr>
                <w:b/>
                <w:sz w:val="22"/>
                <w:szCs w:val="22"/>
              </w:rPr>
              <w:t>in October 2013?</w:t>
            </w:r>
          </w:p>
        </w:tc>
      </w:tr>
      <w:tr w:rsidR="00077B59" w:rsidRPr="001E430D" w:rsidTr="00EA4206">
        <w:tc>
          <w:tcPr>
            <w:tcW w:w="10237" w:type="dxa"/>
            <w:gridSpan w:val="2"/>
          </w:tcPr>
          <w:p w:rsidR="008A534C" w:rsidRDefault="008A534C" w:rsidP="00403CAA">
            <w:pPr>
              <w:rPr>
                <w:sz w:val="22"/>
                <w:szCs w:val="22"/>
              </w:rPr>
            </w:pPr>
          </w:p>
          <w:p w:rsidR="00A719AD" w:rsidRDefault="00A719AD" w:rsidP="008A534C">
            <w:pPr>
              <w:rPr>
                <w:sz w:val="22"/>
                <w:szCs w:val="22"/>
              </w:rPr>
            </w:pPr>
            <w:r>
              <w:rPr>
                <w:sz w:val="22"/>
                <w:szCs w:val="22"/>
              </w:rPr>
              <w:t>In October 2013 a Performance Indicator Recovery P</w:t>
            </w:r>
            <w:r w:rsidR="00A87958">
              <w:rPr>
                <w:sz w:val="22"/>
                <w:szCs w:val="22"/>
              </w:rPr>
              <w:t>lan was presented the CCPI</w:t>
            </w:r>
            <w:r w:rsidR="008A534C">
              <w:rPr>
                <w:sz w:val="22"/>
                <w:szCs w:val="22"/>
              </w:rPr>
              <w:t xml:space="preserve"> relating to the average days taken to receive</w:t>
            </w:r>
            <w:r w:rsidR="00A87958">
              <w:rPr>
                <w:sz w:val="22"/>
                <w:szCs w:val="22"/>
              </w:rPr>
              <w:t xml:space="preserve"> payment, but also contained details about</w:t>
            </w:r>
            <w:r>
              <w:rPr>
                <w:sz w:val="22"/>
                <w:szCs w:val="22"/>
              </w:rPr>
              <w:t xml:space="preserve"> the position on outstanding debts owed to the County Council. </w:t>
            </w:r>
            <w:r w:rsidR="008A534C">
              <w:rPr>
                <w:sz w:val="22"/>
                <w:szCs w:val="22"/>
              </w:rPr>
              <w:t xml:space="preserve"> This report </w:t>
            </w:r>
            <w:r>
              <w:rPr>
                <w:sz w:val="22"/>
                <w:szCs w:val="22"/>
              </w:rPr>
              <w:t>identified a number of actions that needed to</w:t>
            </w:r>
            <w:r w:rsidR="008A534C">
              <w:rPr>
                <w:sz w:val="22"/>
                <w:szCs w:val="22"/>
              </w:rPr>
              <w:t xml:space="preserve"> </w:t>
            </w:r>
            <w:r>
              <w:rPr>
                <w:sz w:val="22"/>
                <w:szCs w:val="22"/>
              </w:rPr>
              <w:t xml:space="preserve">take place and provided deadlines. </w:t>
            </w:r>
            <w:r w:rsidR="005B4129">
              <w:rPr>
                <w:sz w:val="22"/>
                <w:szCs w:val="22"/>
              </w:rPr>
              <w:t xml:space="preserve"> Whilst good progress has been made in achieving some of the action points, the complexity of the implementation and the dependency on other key parts of the business has meant that implementation has been slower than expected.  Full completion of all activity </w:t>
            </w:r>
            <w:r w:rsidR="00BA4DA6">
              <w:rPr>
                <w:sz w:val="22"/>
                <w:szCs w:val="22"/>
              </w:rPr>
              <w:t xml:space="preserve">(except a paperless direct debit capability) </w:t>
            </w:r>
            <w:r w:rsidR="005B4129">
              <w:rPr>
                <w:sz w:val="22"/>
                <w:szCs w:val="22"/>
              </w:rPr>
              <w:t xml:space="preserve">is however </w:t>
            </w:r>
            <w:r w:rsidR="0060102E">
              <w:rPr>
                <w:sz w:val="22"/>
                <w:szCs w:val="22"/>
              </w:rPr>
              <w:t xml:space="preserve">scheduled and on track to be completed by </w:t>
            </w:r>
            <w:r w:rsidR="005B4129">
              <w:rPr>
                <w:sz w:val="22"/>
                <w:szCs w:val="22"/>
              </w:rPr>
              <w:t>June 2015 and this is set out below;</w:t>
            </w:r>
          </w:p>
          <w:p w:rsidR="005B4129" w:rsidRDefault="005B4129" w:rsidP="008A534C">
            <w:pPr>
              <w:rPr>
                <w:sz w:val="22"/>
                <w:szCs w:val="22"/>
              </w:rPr>
            </w:pPr>
          </w:p>
          <w:p w:rsidR="005B4129" w:rsidRPr="00FA5F6E" w:rsidRDefault="005B4129" w:rsidP="008A534C">
            <w:pPr>
              <w:rPr>
                <w:b/>
                <w:sz w:val="22"/>
                <w:szCs w:val="22"/>
              </w:rPr>
            </w:pPr>
            <w:r>
              <w:rPr>
                <w:b/>
                <w:sz w:val="22"/>
                <w:szCs w:val="22"/>
              </w:rPr>
              <w:t>Internal Audit Team Review</w:t>
            </w:r>
          </w:p>
          <w:p w:rsidR="005B4129" w:rsidRDefault="005B4129" w:rsidP="008A534C">
            <w:pPr>
              <w:rPr>
                <w:sz w:val="22"/>
                <w:szCs w:val="22"/>
              </w:rPr>
            </w:pPr>
          </w:p>
          <w:p w:rsidR="005B4129" w:rsidRDefault="00470984" w:rsidP="008A534C">
            <w:pPr>
              <w:rPr>
                <w:sz w:val="22"/>
                <w:szCs w:val="22"/>
              </w:rPr>
            </w:pPr>
            <w:r>
              <w:rPr>
                <w:sz w:val="22"/>
                <w:szCs w:val="22"/>
              </w:rPr>
              <w:t>Subsequent to the report to CCPI, a</w:t>
            </w:r>
            <w:r w:rsidR="005B4129">
              <w:rPr>
                <w:sz w:val="22"/>
                <w:szCs w:val="22"/>
              </w:rPr>
              <w:t xml:space="preserve"> review of processes and working practices was carried out by the Internal Audit Team and from this it was agreed with the </w:t>
            </w:r>
            <w:r>
              <w:rPr>
                <w:sz w:val="22"/>
                <w:szCs w:val="22"/>
              </w:rPr>
              <w:t>County Treasurer's M</w:t>
            </w:r>
            <w:r w:rsidR="005B4129">
              <w:rPr>
                <w:sz w:val="22"/>
                <w:szCs w:val="22"/>
              </w:rPr>
              <w:t>anagement Team that the areas of focus were;</w:t>
            </w:r>
          </w:p>
          <w:p w:rsidR="005B4129" w:rsidRDefault="005B4129" w:rsidP="005B4129">
            <w:pPr>
              <w:pStyle w:val="ListParagraph"/>
              <w:rPr>
                <w:sz w:val="22"/>
              </w:rPr>
            </w:pPr>
          </w:p>
          <w:p w:rsidR="005B4129" w:rsidRDefault="005B4129" w:rsidP="005B4129">
            <w:pPr>
              <w:pStyle w:val="ListParagraph"/>
              <w:numPr>
                <w:ilvl w:val="0"/>
                <w:numId w:val="28"/>
              </w:numPr>
              <w:rPr>
                <w:sz w:val="22"/>
              </w:rPr>
            </w:pPr>
            <w:r>
              <w:rPr>
                <w:sz w:val="22"/>
              </w:rPr>
              <w:t xml:space="preserve">Development of a Corporate Income and Debt </w:t>
            </w:r>
            <w:r w:rsidR="00470984">
              <w:rPr>
                <w:sz w:val="22"/>
              </w:rPr>
              <w:t xml:space="preserve">Management </w:t>
            </w:r>
            <w:r>
              <w:rPr>
                <w:sz w:val="22"/>
              </w:rPr>
              <w:t>Policy</w:t>
            </w:r>
          </w:p>
          <w:p w:rsidR="005B4129" w:rsidRPr="00FA5F6E" w:rsidRDefault="005B4129" w:rsidP="005B4129">
            <w:pPr>
              <w:pStyle w:val="ListParagraph"/>
              <w:numPr>
                <w:ilvl w:val="0"/>
                <w:numId w:val="28"/>
              </w:numPr>
              <w:rPr>
                <w:sz w:val="22"/>
              </w:rPr>
            </w:pPr>
            <w:r>
              <w:rPr>
                <w:sz w:val="22"/>
              </w:rPr>
              <w:t xml:space="preserve">Charging Policy for Care </w:t>
            </w:r>
          </w:p>
          <w:p w:rsidR="005B4129" w:rsidRDefault="005B4129" w:rsidP="005B4129">
            <w:pPr>
              <w:pStyle w:val="ListParagraph"/>
              <w:numPr>
                <w:ilvl w:val="0"/>
                <w:numId w:val="28"/>
              </w:numPr>
              <w:rPr>
                <w:sz w:val="22"/>
              </w:rPr>
            </w:pPr>
            <w:r>
              <w:rPr>
                <w:sz w:val="22"/>
              </w:rPr>
              <w:t>Development of Debt Strategies and subsequent re-configuration of IT systems</w:t>
            </w:r>
          </w:p>
          <w:p w:rsidR="005B4129" w:rsidRDefault="005B4129" w:rsidP="005B4129">
            <w:pPr>
              <w:pStyle w:val="ListParagraph"/>
              <w:numPr>
                <w:ilvl w:val="0"/>
                <w:numId w:val="28"/>
              </w:numPr>
              <w:rPr>
                <w:sz w:val="22"/>
              </w:rPr>
            </w:pPr>
            <w:r>
              <w:rPr>
                <w:sz w:val="22"/>
              </w:rPr>
              <w:t>Direct Debit Take Up/Financial Assessment Process</w:t>
            </w:r>
          </w:p>
          <w:p w:rsidR="005B4129" w:rsidRDefault="005B4129" w:rsidP="005B4129">
            <w:pPr>
              <w:pStyle w:val="ListParagraph"/>
              <w:numPr>
                <w:ilvl w:val="0"/>
                <w:numId w:val="28"/>
              </w:numPr>
              <w:rPr>
                <w:sz w:val="22"/>
              </w:rPr>
            </w:pPr>
            <w:r>
              <w:rPr>
                <w:sz w:val="22"/>
              </w:rPr>
              <w:t>Paperless Direct Debit</w:t>
            </w:r>
          </w:p>
          <w:p w:rsidR="005B4129" w:rsidRDefault="005B4129" w:rsidP="005B4129">
            <w:pPr>
              <w:pStyle w:val="ListParagraph"/>
              <w:numPr>
                <w:ilvl w:val="0"/>
                <w:numId w:val="28"/>
              </w:numPr>
              <w:rPr>
                <w:sz w:val="22"/>
              </w:rPr>
            </w:pPr>
            <w:r>
              <w:rPr>
                <w:sz w:val="22"/>
              </w:rPr>
              <w:t>Clarification of roles with Legal Services</w:t>
            </w:r>
          </w:p>
          <w:p w:rsidR="00470984" w:rsidRDefault="00470984" w:rsidP="00FA5F6E">
            <w:pPr>
              <w:rPr>
                <w:sz w:val="22"/>
              </w:rPr>
            </w:pPr>
            <w:r>
              <w:rPr>
                <w:sz w:val="22"/>
              </w:rPr>
              <w:t>These were broadly in line with the expectations set out to CCPI but provided greater depth on the activity that would be required.  At that ti</w:t>
            </w:r>
            <w:r w:rsidR="007B0616">
              <w:rPr>
                <w:sz w:val="22"/>
              </w:rPr>
              <w:t>m</w:t>
            </w:r>
            <w:r>
              <w:rPr>
                <w:sz w:val="22"/>
              </w:rPr>
              <w:t>e it was clear that in order to have effective debt management strategies in place the timescales involved may take longer than originally envisaged.</w:t>
            </w:r>
          </w:p>
          <w:p w:rsidR="00470984" w:rsidRDefault="00470984" w:rsidP="00FA5F6E">
            <w:pPr>
              <w:rPr>
                <w:sz w:val="22"/>
              </w:rPr>
            </w:pPr>
          </w:p>
          <w:p w:rsidR="00470984" w:rsidRPr="00911198" w:rsidRDefault="005B4129" w:rsidP="00470984">
            <w:pPr>
              <w:pStyle w:val="ListParagraph"/>
              <w:numPr>
                <w:ilvl w:val="0"/>
                <w:numId w:val="27"/>
              </w:numPr>
              <w:rPr>
                <w:sz w:val="22"/>
              </w:rPr>
            </w:pPr>
            <w:r>
              <w:rPr>
                <w:sz w:val="22"/>
              </w:rPr>
              <w:t xml:space="preserve"> </w:t>
            </w:r>
            <w:r w:rsidR="00470984">
              <w:rPr>
                <w:b/>
                <w:sz w:val="22"/>
              </w:rPr>
              <w:t>Development of a Corporate Income and Debt Management Policy</w:t>
            </w:r>
          </w:p>
          <w:p w:rsidR="00470984" w:rsidRDefault="00470984" w:rsidP="00470984">
            <w:pPr>
              <w:pStyle w:val="ListParagraph"/>
              <w:rPr>
                <w:sz w:val="22"/>
              </w:rPr>
            </w:pPr>
            <w:r>
              <w:rPr>
                <w:sz w:val="22"/>
              </w:rPr>
              <w:t>A draft Income and Debt Management Policy has been completed and shared with the Management Team. The policy aims to:</w:t>
            </w:r>
          </w:p>
          <w:p w:rsidR="00470984" w:rsidRPr="00093DBD" w:rsidRDefault="00470984" w:rsidP="00470984">
            <w:pPr>
              <w:pStyle w:val="ListParagraph"/>
              <w:numPr>
                <w:ilvl w:val="0"/>
                <w:numId w:val="3"/>
              </w:numPr>
              <w:ind w:left="1418" w:hanging="425"/>
              <w:rPr>
                <w:rFonts w:cs="Arial"/>
                <w:sz w:val="22"/>
              </w:rPr>
            </w:pPr>
            <w:r>
              <w:rPr>
                <w:rFonts w:cs="Arial"/>
                <w:sz w:val="22"/>
              </w:rPr>
              <w:t>Incorporate</w:t>
            </w:r>
            <w:r w:rsidRPr="00093DBD">
              <w:rPr>
                <w:rFonts w:cs="Arial"/>
                <w:sz w:val="22"/>
              </w:rPr>
              <w:t xml:space="preserve"> elements of commercial best practice appropriate to local authority circumstances</w:t>
            </w:r>
            <w:r>
              <w:rPr>
                <w:rFonts w:cs="Arial"/>
                <w:sz w:val="22"/>
              </w:rPr>
              <w:t xml:space="preserve"> (credit checks, payment in advance, timely invoicing, regular monitoring, swift remedial action, cessation of discretionary services)</w:t>
            </w:r>
          </w:p>
          <w:p w:rsidR="00470984" w:rsidRDefault="00470984" w:rsidP="00470984">
            <w:pPr>
              <w:pStyle w:val="ListParagraph"/>
              <w:numPr>
                <w:ilvl w:val="0"/>
                <w:numId w:val="3"/>
              </w:numPr>
              <w:ind w:left="1418" w:hanging="425"/>
              <w:rPr>
                <w:rFonts w:cs="Arial"/>
                <w:sz w:val="22"/>
              </w:rPr>
            </w:pPr>
            <w:r>
              <w:rPr>
                <w:rFonts w:cs="Arial"/>
                <w:sz w:val="22"/>
              </w:rPr>
              <w:lastRenderedPageBreak/>
              <w:t>Recognise</w:t>
            </w:r>
            <w:r w:rsidRPr="00093DBD">
              <w:rPr>
                <w:rFonts w:cs="Arial"/>
                <w:sz w:val="22"/>
              </w:rPr>
              <w:t xml:space="preserve"> </w:t>
            </w:r>
            <w:r>
              <w:rPr>
                <w:rFonts w:cs="Arial"/>
                <w:sz w:val="22"/>
              </w:rPr>
              <w:t xml:space="preserve">the </w:t>
            </w:r>
            <w:r w:rsidRPr="00093DBD">
              <w:rPr>
                <w:rFonts w:cs="Arial"/>
                <w:sz w:val="22"/>
              </w:rPr>
              <w:t xml:space="preserve">discrete types of debt </w:t>
            </w:r>
            <w:r>
              <w:rPr>
                <w:rFonts w:cs="Arial"/>
                <w:sz w:val="22"/>
              </w:rPr>
              <w:t>which face</w:t>
            </w:r>
            <w:r w:rsidRPr="00093DBD">
              <w:rPr>
                <w:rFonts w:cs="Arial"/>
                <w:sz w:val="22"/>
              </w:rPr>
              <w:t xml:space="preserve"> LCC </w:t>
            </w:r>
            <w:r>
              <w:rPr>
                <w:rFonts w:cs="Arial"/>
                <w:sz w:val="22"/>
              </w:rPr>
              <w:t>and</w:t>
            </w:r>
            <w:r w:rsidRPr="00093DBD">
              <w:rPr>
                <w:rFonts w:cs="Arial"/>
                <w:sz w:val="22"/>
              </w:rPr>
              <w:t xml:space="preserve"> </w:t>
            </w:r>
            <w:r>
              <w:rPr>
                <w:rFonts w:cs="Arial"/>
                <w:sz w:val="22"/>
              </w:rPr>
              <w:t xml:space="preserve">targets effort and resources specifically and effectively at their </w:t>
            </w:r>
            <w:r w:rsidRPr="0098567F">
              <w:rPr>
                <w:rFonts w:cs="Arial"/>
                <w:sz w:val="22"/>
              </w:rPr>
              <w:t>underlying causes</w:t>
            </w:r>
            <w:r>
              <w:rPr>
                <w:rFonts w:cs="Arial"/>
                <w:sz w:val="22"/>
              </w:rPr>
              <w:t xml:space="preserve"> in an effort to ensure debt is raised appropriately in the first instance. </w:t>
            </w:r>
          </w:p>
          <w:p w:rsidR="00470984" w:rsidRDefault="00470984" w:rsidP="00470984">
            <w:pPr>
              <w:pStyle w:val="ListParagraph"/>
              <w:numPr>
                <w:ilvl w:val="0"/>
                <w:numId w:val="3"/>
              </w:numPr>
              <w:ind w:left="1418" w:hanging="425"/>
              <w:rPr>
                <w:rFonts w:cs="Arial"/>
                <w:sz w:val="22"/>
              </w:rPr>
            </w:pPr>
            <w:r>
              <w:rPr>
                <w:rFonts w:cs="Arial"/>
                <w:sz w:val="22"/>
              </w:rPr>
              <w:t xml:space="preserve">Improve management information which shows a more accurate position of unsecured debt and taking into account factors 'out of our control', such as the time it takes to settle deceased estates.  </w:t>
            </w:r>
          </w:p>
          <w:p w:rsidR="00470984" w:rsidRDefault="00470984" w:rsidP="00470984">
            <w:pPr>
              <w:pStyle w:val="ListParagraph"/>
              <w:numPr>
                <w:ilvl w:val="0"/>
                <w:numId w:val="3"/>
              </w:numPr>
              <w:ind w:left="1418" w:hanging="425"/>
              <w:rPr>
                <w:rFonts w:cs="Arial"/>
                <w:sz w:val="22"/>
              </w:rPr>
            </w:pPr>
            <w:r>
              <w:rPr>
                <w:rFonts w:cs="Arial"/>
                <w:sz w:val="22"/>
              </w:rPr>
              <w:t>Provide</w:t>
            </w:r>
            <w:r w:rsidRPr="00093DBD">
              <w:rPr>
                <w:rFonts w:cs="Arial"/>
                <w:sz w:val="22"/>
              </w:rPr>
              <w:t xml:space="preserve"> a </w:t>
            </w:r>
            <w:r>
              <w:rPr>
                <w:rFonts w:cs="Arial"/>
                <w:sz w:val="22"/>
              </w:rPr>
              <w:t xml:space="preserve">clear framework for effective income and debt </w:t>
            </w:r>
            <w:r w:rsidRPr="00093DBD">
              <w:rPr>
                <w:rFonts w:cs="Arial"/>
                <w:sz w:val="22"/>
              </w:rPr>
              <w:t xml:space="preserve">management </w:t>
            </w:r>
            <w:r>
              <w:rPr>
                <w:rFonts w:cs="Arial"/>
                <w:sz w:val="22"/>
              </w:rPr>
              <w:t>which moves towards working with and educating services to ensure basic requirements are complied with when raising debt in the first instance.</w:t>
            </w:r>
          </w:p>
          <w:p w:rsidR="00470984" w:rsidRDefault="00470984" w:rsidP="00470984">
            <w:pPr>
              <w:pStyle w:val="ListParagraph"/>
              <w:numPr>
                <w:ilvl w:val="0"/>
                <w:numId w:val="3"/>
              </w:numPr>
              <w:ind w:left="1418" w:hanging="425"/>
              <w:rPr>
                <w:rFonts w:cs="Arial"/>
                <w:sz w:val="22"/>
              </w:rPr>
            </w:pPr>
            <w:r>
              <w:rPr>
                <w:rFonts w:cs="Arial"/>
                <w:sz w:val="22"/>
              </w:rPr>
              <w:t>Incorporate a fully revised and updated debt recovery and write off procedure</w:t>
            </w:r>
          </w:p>
          <w:p w:rsidR="00470984" w:rsidRDefault="00470984" w:rsidP="00470984">
            <w:pPr>
              <w:pStyle w:val="ListParagraph"/>
              <w:ind w:left="1418"/>
              <w:rPr>
                <w:rFonts w:cs="Arial"/>
                <w:sz w:val="22"/>
              </w:rPr>
            </w:pPr>
          </w:p>
          <w:p w:rsidR="00470984" w:rsidRDefault="00470984" w:rsidP="00470984">
            <w:pPr>
              <w:pStyle w:val="ListParagraph"/>
              <w:rPr>
                <w:sz w:val="22"/>
              </w:rPr>
            </w:pPr>
            <w:r>
              <w:rPr>
                <w:sz w:val="22"/>
              </w:rPr>
              <w:t xml:space="preserve">Following comments and feedback from Management Team and a final version of the policy will be signed off by </w:t>
            </w:r>
            <w:r w:rsidR="00B42BB1">
              <w:rPr>
                <w:sz w:val="22"/>
              </w:rPr>
              <w:t>June 2015.</w:t>
            </w:r>
          </w:p>
          <w:p w:rsidR="005B4129" w:rsidRDefault="005B4129" w:rsidP="00FA5F6E">
            <w:pPr>
              <w:rPr>
                <w:sz w:val="22"/>
              </w:rPr>
            </w:pPr>
          </w:p>
          <w:p w:rsidR="008A534C" w:rsidRDefault="008A534C" w:rsidP="008A534C">
            <w:pPr>
              <w:rPr>
                <w:sz w:val="22"/>
                <w:szCs w:val="22"/>
              </w:rPr>
            </w:pPr>
          </w:p>
          <w:p w:rsidR="00470984" w:rsidRDefault="00470984" w:rsidP="00470984">
            <w:pPr>
              <w:pStyle w:val="ListParagraph"/>
              <w:numPr>
                <w:ilvl w:val="0"/>
                <w:numId w:val="27"/>
              </w:numPr>
              <w:rPr>
                <w:b/>
                <w:sz w:val="22"/>
              </w:rPr>
            </w:pPr>
            <w:r>
              <w:rPr>
                <w:b/>
                <w:sz w:val="22"/>
              </w:rPr>
              <w:t>Charging Policy for Care</w:t>
            </w:r>
          </w:p>
          <w:p w:rsidR="00C92539" w:rsidRDefault="00C92539" w:rsidP="00C92539">
            <w:pPr>
              <w:pStyle w:val="ListParagraph"/>
              <w:rPr>
                <w:b/>
                <w:sz w:val="22"/>
              </w:rPr>
            </w:pPr>
          </w:p>
          <w:p w:rsidR="00B42BB1" w:rsidRDefault="00E83EDA" w:rsidP="00FA5F6E">
            <w:pPr>
              <w:pStyle w:val="ListParagraph"/>
              <w:rPr>
                <w:sz w:val="22"/>
              </w:rPr>
            </w:pPr>
            <w:r w:rsidRPr="00B42BB1">
              <w:rPr>
                <w:sz w:val="22"/>
              </w:rPr>
              <w:t xml:space="preserve">The requirement for an updated charging policy for adult social care reflects the need to </w:t>
            </w:r>
            <w:r w:rsidR="00ED2A0D" w:rsidRPr="00B42BB1">
              <w:rPr>
                <w:sz w:val="22"/>
              </w:rPr>
              <w:t xml:space="preserve">publicise </w:t>
            </w:r>
            <w:r w:rsidRPr="00B42BB1">
              <w:rPr>
                <w:sz w:val="22"/>
              </w:rPr>
              <w:t xml:space="preserve">changes brought about through the County Council's implementation of the Care Act and to better explain </w:t>
            </w:r>
            <w:r w:rsidR="00ED2A0D" w:rsidRPr="00B42BB1">
              <w:rPr>
                <w:sz w:val="22"/>
              </w:rPr>
              <w:t xml:space="preserve">and support prospective service </w:t>
            </w:r>
            <w:r w:rsidR="00B42BB1" w:rsidRPr="00B42BB1">
              <w:rPr>
                <w:sz w:val="22"/>
              </w:rPr>
              <w:t xml:space="preserve">users </w:t>
            </w:r>
            <w:r w:rsidRPr="00B42BB1">
              <w:rPr>
                <w:sz w:val="22"/>
              </w:rPr>
              <w:t>preparing to receive care services (</w:t>
            </w:r>
            <w:r w:rsidR="00665A90" w:rsidRPr="00B42BB1">
              <w:rPr>
                <w:sz w:val="22"/>
              </w:rPr>
              <w:t xml:space="preserve">funding care, </w:t>
            </w:r>
            <w:r w:rsidRPr="00B42BB1">
              <w:rPr>
                <w:sz w:val="22"/>
              </w:rPr>
              <w:t>undergoing a financial assessment, making payment</w:t>
            </w:r>
            <w:r w:rsidR="00B42BB1">
              <w:rPr>
                <w:sz w:val="22"/>
              </w:rPr>
              <w:t>s</w:t>
            </w:r>
            <w:r w:rsidRPr="00B42BB1">
              <w:rPr>
                <w:sz w:val="22"/>
              </w:rPr>
              <w:t xml:space="preserve"> </w:t>
            </w:r>
            <w:r w:rsidR="00ED2A0D" w:rsidRPr="00B42BB1">
              <w:rPr>
                <w:sz w:val="22"/>
              </w:rPr>
              <w:t>where a contribution is required</w:t>
            </w:r>
            <w:r w:rsidRPr="00B42BB1">
              <w:rPr>
                <w:sz w:val="22"/>
              </w:rPr>
              <w:t xml:space="preserve">, </w:t>
            </w:r>
            <w:r w:rsidR="00ED2A0D" w:rsidRPr="00B42BB1">
              <w:rPr>
                <w:sz w:val="22"/>
              </w:rPr>
              <w:t>advising the County C</w:t>
            </w:r>
            <w:r w:rsidRPr="00B42BB1">
              <w:rPr>
                <w:sz w:val="22"/>
              </w:rPr>
              <w:t xml:space="preserve">ouncil </w:t>
            </w:r>
            <w:r w:rsidR="00ED2A0D" w:rsidRPr="00B42BB1">
              <w:rPr>
                <w:sz w:val="22"/>
              </w:rPr>
              <w:t xml:space="preserve">about </w:t>
            </w:r>
            <w:r w:rsidR="00B42BB1" w:rsidRPr="00B42BB1">
              <w:rPr>
                <w:sz w:val="22"/>
              </w:rPr>
              <w:t>changes in</w:t>
            </w:r>
            <w:r w:rsidRPr="00B42BB1">
              <w:rPr>
                <w:sz w:val="22"/>
              </w:rPr>
              <w:t xml:space="preserve"> circumstances).</w:t>
            </w:r>
            <w:r w:rsidR="00ED2A0D" w:rsidRPr="00B42BB1">
              <w:rPr>
                <w:sz w:val="22"/>
              </w:rPr>
              <w:t xml:space="preserve"> </w:t>
            </w:r>
          </w:p>
          <w:p w:rsidR="00B42BB1" w:rsidRDefault="00B42BB1" w:rsidP="00FA5F6E">
            <w:pPr>
              <w:pStyle w:val="ListParagraph"/>
              <w:rPr>
                <w:sz w:val="22"/>
              </w:rPr>
            </w:pPr>
          </w:p>
          <w:p w:rsidR="00470984" w:rsidRPr="00B42BB1" w:rsidRDefault="00ED2A0D" w:rsidP="00FA5F6E">
            <w:pPr>
              <w:pStyle w:val="ListParagraph"/>
              <w:rPr>
                <w:sz w:val="22"/>
              </w:rPr>
            </w:pPr>
            <w:r w:rsidRPr="00B42BB1">
              <w:rPr>
                <w:sz w:val="22"/>
              </w:rPr>
              <w:t xml:space="preserve">A new charging policy for care will be developed as part of the County Council's timetable for the implementation of the Care Act and will include </w:t>
            </w:r>
            <w:r w:rsidR="00203DE6">
              <w:rPr>
                <w:sz w:val="22"/>
              </w:rPr>
              <w:t>information on how payment methods that limit the potential for an increase in new debt</w:t>
            </w:r>
            <w:r w:rsidRPr="00B42BB1">
              <w:rPr>
                <w:sz w:val="22"/>
              </w:rPr>
              <w:t xml:space="preserve"> (</w:t>
            </w:r>
            <w:r w:rsidR="00665A90">
              <w:rPr>
                <w:sz w:val="22"/>
              </w:rPr>
              <w:t xml:space="preserve">promoting/incentivising </w:t>
            </w:r>
            <w:r w:rsidRPr="00B42BB1">
              <w:rPr>
                <w:sz w:val="22"/>
              </w:rPr>
              <w:t>Direct Debit</w:t>
            </w:r>
            <w:r w:rsidR="00B42BB1">
              <w:rPr>
                <w:sz w:val="22"/>
              </w:rPr>
              <w:t>, deferred payment arrangements</w:t>
            </w:r>
            <w:r w:rsidRPr="00B42BB1">
              <w:rPr>
                <w:sz w:val="22"/>
              </w:rPr>
              <w:t>) and preventing payment arrears from escalating (early intervention</w:t>
            </w:r>
            <w:r w:rsidR="00665A90" w:rsidRPr="00B42BB1">
              <w:rPr>
                <w:sz w:val="22"/>
              </w:rPr>
              <w:t xml:space="preserve"> on non-payment</w:t>
            </w:r>
            <w:r w:rsidRPr="00B42BB1">
              <w:rPr>
                <w:sz w:val="22"/>
              </w:rPr>
              <w:t>).</w:t>
            </w:r>
          </w:p>
          <w:p w:rsidR="001A3324" w:rsidRDefault="001A3324" w:rsidP="001A3324">
            <w:pPr>
              <w:pStyle w:val="ListParagraph"/>
              <w:rPr>
                <w:sz w:val="22"/>
              </w:rPr>
            </w:pPr>
          </w:p>
          <w:p w:rsidR="001A3324" w:rsidRPr="00FA5F6E" w:rsidRDefault="001A3324" w:rsidP="001A3324">
            <w:pPr>
              <w:pStyle w:val="ListParagraph"/>
              <w:numPr>
                <w:ilvl w:val="0"/>
                <w:numId w:val="27"/>
              </w:numPr>
              <w:rPr>
                <w:sz w:val="22"/>
              </w:rPr>
            </w:pPr>
            <w:r>
              <w:rPr>
                <w:b/>
                <w:sz w:val="22"/>
              </w:rPr>
              <w:t>Development of debt strategies and subsequent re-configuration of ICT systems</w:t>
            </w:r>
          </w:p>
          <w:p w:rsidR="001A3324" w:rsidRPr="00BB651F" w:rsidRDefault="001A3324" w:rsidP="00FA5F6E">
            <w:pPr>
              <w:pStyle w:val="ListParagraph"/>
              <w:rPr>
                <w:sz w:val="22"/>
              </w:rPr>
            </w:pPr>
          </w:p>
          <w:p w:rsidR="001A3324" w:rsidRDefault="001A3324" w:rsidP="001A3324">
            <w:pPr>
              <w:pStyle w:val="ListParagraph"/>
              <w:rPr>
                <w:sz w:val="22"/>
              </w:rPr>
            </w:pPr>
            <w:r>
              <w:rPr>
                <w:sz w:val="22"/>
              </w:rPr>
              <w:t xml:space="preserve">In October 2013 details were provided in the report that significant development work was required within Accounts Receivable in Oracle R12. This would enable greater automation of processes, appropriate differentiation for different types of debts and debtors and provide better reporting information on debt for various different stakeholders. </w:t>
            </w:r>
          </w:p>
          <w:p w:rsidR="001A3324" w:rsidRDefault="001A3324" w:rsidP="001A3324">
            <w:pPr>
              <w:pStyle w:val="ListParagraph"/>
              <w:rPr>
                <w:sz w:val="22"/>
              </w:rPr>
            </w:pPr>
          </w:p>
          <w:p w:rsidR="001A3324" w:rsidRDefault="001A3324" w:rsidP="001A3324">
            <w:pPr>
              <w:pStyle w:val="ListParagraph"/>
              <w:rPr>
                <w:sz w:val="22"/>
              </w:rPr>
            </w:pPr>
            <w:r>
              <w:rPr>
                <w:sz w:val="22"/>
              </w:rPr>
              <w:lastRenderedPageBreak/>
              <w:t xml:space="preserve">A substantial amount of work has been completed to make sure that the system design and other elements such as letters, statements and emails, reports and even design principles for the post that a debtor will receive (one envelope per debtor) are giving the County Council what it needs to manage debt efficiently and effectively. The design and project planning of this work strand has taken longer than anticipated due to the complexity of the different types of debt within the County Council. This stage was considered fundamental in ensuring that the County Council is able to maximise the effectiveness of its debt recovery processes and maximise the benefit from our financial systems.  </w:t>
            </w:r>
          </w:p>
          <w:p w:rsidR="001A3324" w:rsidRDefault="001A3324" w:rsidP="001A3324">
            <w:pPr>
              <w:pStyle w:val="ListParagraph"/>
              <w:rPr>
                <w:sz w:val="22"/>
              </w:rPr>
            </w:pPr>
          </w:p>
          <w:p w:rsidR="001A3324" w:rsidRDefault="001A3324" w:rsidP="001A3324">
            <w:pPr>
              <w:pStyle w:val="ListParagraph"/>
              <w:rPr>
                <w:sz w:val="22"/>
              </w:rPr>
            </w:pPr>
            <w:r>
              <w:rPr>
                <w:sz w:val="22"/>
              </w:rPr>
              <w:t xml:space="preserve">The debt strategies have now been agreed and signed off by a newly established Debt Management Programme Board and the re-configuration of the ICT systems is currently underway by BTLS.  A recent key milestone of sign off for the design stage has been completed and the new debts strategies are now being built. A significant testing phase has been built into the project plan to provide assurance that the new system is working as anticipated. The go-live date for the new system is June 2015. </w:t>
            </w:r>
          </w:p>
          <w:p w:rsidR="001A3324" w:rsidRDefault="001A3324" w:rsidP="001A3324">
            <w:pPr>
              <w:pStyle w:val="ListParagraph"/>
              <w:rPr>
                <w:sz w:val="22"/>
              </w:rPr>
            </w:pPr>
          </w:p>
          <w:p w:rsidR="001A3324" w:rsidRDefault="001A3324" w:rsidP="001A3324">
            <w:pPr>
              <w:pStyle w:val="ListParagraph"/>
              <w:rPr>
                <w:sz w:val="22"/>
              </w:rPr>
            </w:pPr>
            <w:r>
              <w:rPr>
                <w:sz w:val="22"/>
              </w:rPr>
              <w:t>In addition, an initial piece of work has been completed by BTLS in relation to paperless direct debit</w:t>
            </w:r>
            <w:r w:rsidR="00BA4DA6">
              <w:rPr>
                <w:sz w:val="22"/>
              </w:rPr>
              <w:t xml:space="preserve"> capabilities</w:t>
            </w:r>
            <w:r>
              <w:rPr>
                <w:sz w:val="22"/>
              </w:rPr>
              <w:t xml:space="preserve"> with a statement of requirements completed. This </w:t>
            </w:r>
            <w:r w:rsidR="00BA4DA6">
              <w:rPr>
                <w:sz w:val="22"/>
              </w:rPr>
              <w:t xml:space="preserve">work </w:t>
            </w:r>
            <w:r>
              <w:rPr>
                <w:sz w:val="22"/>
              </w:rPr>
              <w:t xml:space="preserve">is currently on hold </w:t>
            </w:r>
            <w:r w:rsidR="00BA4DA6">
              <w:rPr>
                <w:sz w:val="22"/>
              </w:rPr>
              <w:t>as it is dependent on the new debt strategies functionality.  It will resume once the new strategies are in operation from June 2015.</w:t>
            </w:r>
          </w:p>
          <w:p w:rsidR="001A3324" w:rsidRDefault="001A3324" w:rsidP="001A3324">
            <w:pPr>
              <w:pStyle w:val="ListParagraph"/>
              <w:rPr>
                <w:sz w:val="22"/>
              </w:rPr>
            </w:pPr>
          </w:p>
          <w:p w:rsidR="001A3324" w:rsidRDefault="001A3324" w:rsidP="00470984">
            <w:pPr>
              <w:pStyle w:val="ListParagraph"/>
              <w:numPr>
                <w:ilvl w:val="0"/>
                <w:numId w:val="27"/>
              </w:numPr>
              <w:rPr>
                <w:b/>
                <w:sz w:val="22"/>
              </w:rPr>
            </w:pPr>
            <w:r>
              <w:rPr>
                <w:b/>
                <w:sz w:val="22"/>
              </w:rPr>
              <w:t>Direct Debit Take-Up/Financial Assessments</w:t>
            </w:r>
          </w:p>
          <w:p w:rsidR="001A3324" w:rsidRDefault="001A3324" w:rsidP="001A3324">
            <w:pPr>
              <w:pStyle w:val="ListParagraph"/>
              <w:rPr>
                <w:sz w:val="22"/>
              </w:rPr>
            </w:pPr>
          </w:p>
          <w:p w:rsidR="001A3324" w:rsidRDefault="001A3324" w:rsidP="001A3324">
            <w:pPr>
              <w:pStyle w:val="ListParagraph"/>
              <w:rPr>
                <w:sz w:val="22"/>
              </w:rPr>
            </w:pPr>
            <w:r>
              <w:rPr>
                <w:sz w:val="22"/>
              </w:rPr>
              <w:t>A key factor in the collection of care debt is the take-up of direct debits.  All clients are encouraged to sign up to a direct debit mandate in order that care debt can be collected promptly. Direct debit take up has started to fall over recent months and is largely attributable to the implementation of the care systems replacement that went live in June 2014.  Issues in implementing the new system resulted in some incorrect bills and consequently some clients cancelled these.  A significant amount of work has been in place to overcome the issues of the systems implementation and we are now in a position where there is greater confidence in the billing and therefore it is hoped that more clients will chose direct debit as the preferred method of payment.</w:t>
            </w:r>
          </w:p>
          <w:p w:rsidR="001A3324" w:rsidRDefault="001A3324" w:rsidP="001A3324">
            <w:pPr>
              <w:pStyle w:val="ListParagraph"/>
              <w:rPr>
                <w:sz w:val="22"/>
              </w:rPr>
            </w:pPr>
          </w:p>
          <w:p w:rsidR="00580D4C" w:rsidRDefault="00580D4C" w:rsidP="001A3324">
            <w:pPr>
              <w:pStyle w:val="ListParagraph"/>
              <w:rPr>
                <w:sz w:val="22"/>
              </w:rPr>
            </w:pPr>
            <w:r>
              <w:rPr>
                <w:sz w:val="22"/>
              </w:rPr>
              <w:t xml:space="preserve">The speed of financial assessments is also another key factor in ensuring that clients are </w:t>
            </w:r>
            <w:r w:rsidR="007B0616">
              <w:rPr>
                <w:sz w:val="22"/>
              </w:rPr>
              <w:t>a</w:t>
            </w:r>
            <w:r>
              <w:rPr>
                <w:sz w:val="22"/>
              </w:rPr>
              <w:t>w</w:t>
            </w:r>
            <w:r w:rsidR="007B0616">
              <w:rPr>
                <w:sz w:val="22"/>
              </w:rPr>
              <w:t>a</w:t>
            </w:r>
            <w:r>
              <w:rPr>
                <w:sz w:val="22"/>
              </w:rPr>
              <w:t xml:space="preserve">re of care costs as early as possible and that they are charged accordingly.  Since the last CCPI meeting, the financial assessment team has transferred back to the County Council from the </w:t>
            </w:r>
            <w:r>
              <w:rPr>
                <w:sz w:val="22"/>
              </w:rPr>
              <w:lastRenderedPageBreak/>
              <w:t>previous strategic partnership, OCL, and work is underway to ensure that effective processes are in place.  This work will continue over the next few months.</w:t>
            </w:r>
          </w:p>
          <w:p w:rsidR="00580D4C" w:rsidRDefault="00580D4C" w:rsidP="001A3324">
            <w:pPr>
              <w:pStyle w:val="ListParagraph"/>
              <w:rPr>
                <w:sz w:val="22"/>
              </w:rPr>
            </w:pPr>
          </w:p>
          <w:p w:rsidR="001A3324" w:rsidRPr="00FA5F6E" w:rsidRDefault="001A3324" w:rsidP="00FA5F6E">
            <w:pPr>
              <w:pStyle w:val="ListParagraph"/>
              <w:rPr>
                <w:b/>
                <w:sz w:val="22"/>
              </w:rPr>
            </w:pPr>
          </w:p>
          <w:p w:rsidR="00580D4C" w:rsidRDefault="00580D4C" w:rsidP="00580D4C">
            <w:pPr>
              <w:pStyle w:val="ListParagraph"/>
              <w:numPr>
                <w:ilvl w:val="0"/>
                <w:numId w:val="27"/>
              </w:numPr>
              <w:rPr>
                <w:b/>
                <w:sz w:val="22"/>
              </w:rPr>
            </w:pPr>
            <w:r>
              <w:rPr>
                <w:b/>
                <w:sz w:val="22"/>
              </w:rPr>
              <w:t>Paperless Direct Debits</w:t>
            </w:r>
          </w:p>
          <w:p w:rsidR="00C92539" w:rsidRDefault="00C92539" w:rsidP="00203DE6">
            <w:pPr>
              <w:pStyle w:val="ListParagraph"/>
              <w:rPr>
                <w:sz w:val="22"/>
              </w:rPr>
            </w:pPr>
          </w:p>
          <w:p w:rsidR="00203DE6" w:rsidRDefault="00203DE6" w:rsidP="00203DE6">
            <w:pPr>
              <w:pStyle w:val="ListParagraph"/>
              <w:rPr>
                <w:sz w:val="22"/>
              </w:rPr>
            </w:pPr>
            <w:r>
              <w:rPr>
                <w:sz w:val="22"/>
              </w:rPr>
              <w:t>An initial piece of work has been completed by BTLS in relation to paperless direct debit capabilities with a statement of requirements completed. This work is currently on hold as it is dependent on the new debt strategies functionality.  It will resume once the new strategies are in operation from June 2015.</w:t>
            </w:r>
          </w:p>
          <w:p w:rsidR="00C92539" w:rsidRDefault="00C92539" w:rsidP="00203DE6">
            <w:pPr>
              <w:pStyle w:val="ListParagraph"/>
              <w:rPr>
                <w:sz w:val="22"/>
              </w:rPr>
            </w:pPr>
          </w:p>
          <w:p w:rsidR="00C92539" w:rsidRDefault="00C92539" w:rsidP="00C92539">
            <w:pPr>
              <w:pStyle w:val="ListParagraph"/>
              <w:numPr>
                <w:ilvl w:val="0"/>
                <w:numId w:val="27"/>
              </w:numPr>
              <w:rPr>
                <w:b/>
                <w:sz w:val="22"/>
              </w:rPr>
            </w:pPr>
            <w:r>
              <w:rPr>
                <w:b/>
                <w:sz w:val="22"/>
              </w:rPr>
              <w:t>Clarification of the role of Legal Services</w:t>
            </w:r>
          </w:p>
          <w:p w:rsidR="00C92539" w:rsidRPr="00C92539" w:rsidRDefault="00C92539" w:rsidP="00C92539">
            <w:pPr>
              <w:rPr>
                <w:sz w:val="22"/>
              </w:rPr>
            </w:pPr>
          </w:p>
          <w:p w:rsidR="00F80DA8" w:rsidRPr="00AC68F9" w:rsidRDefault="00F80DA8" w:rsidP="00AC68F9">
            <w:pPr>
              <w:pStyle w:val="ListParagraph"/>
              <w:rPr>
                <w:sz w:val="22"/>
              </w:rPr>
            </w:pPr>
            <w:r w:rsidRPr="00AC68F9">
              <w:rPr>
                <w:sz w:val="22"/>
              </w:rPr>
              <w:t xml:space="preserve">Timely and effective legal action is a critical part of effective debt management and requires the processes and procedures supporting the </w:t>
            </w:r>
            <w:r w:rsidR="00665A90" w:rsidRPr="00AC68F9">
              <w:rPr>
                <w:sz w:val="22"/>
              </w:rPr>
              <w:t xml:space="preserve">identification, </w:t>
            </w:r>
            <w:r w:rsidRPr="00AC68F9">
              <w:rPr>
                <w:sz w:val="22"/>
              </w:rPr>
              <w:t>referral and management of cases to be as efficient as possible.</w:t>
            </w:r>
          </w:p>
          <w:p w:rsidR="00F80DA8" w:rsidRPr="00AC68F9" w:rsidRDefault="00F80DA8" w:rsidP="00AC68F9">
            <w:pPr>
              <w:pStyle w:val="ListParagraph"/>
              <w:rPr>
                <w:sz w:val="22"/>
              </w:rPr>
            </w:pPr>
          </w:p>
          <w:p w:rsidR="00F80DA8" w:rsidRDefault="00941654" w:rsidP="00AC68F9">
            <w:pPr>
              <w:pStyle w:val="ListParagraph"/>
              <w:rPr>
                <w:sz w:val="22"/>
              </w:rPr>
            </w:pPr>
            <w:r w:rsidRPr="00AC68F9">
              <w:rPr>
                <w:sz w:val="22"/>
              </w:rPr>
              <w:t xml:space="preserve">As part of the development of debt strategies which will bring greater automation to the collection process, </w:t>
            </w:r>
            <w:r w:rsidR="00203DE6" w:rsidRPr="00AC68F9">
              <w:rPr>
                <w:sz w:val="22"/>
              </w:rPr>
              <w:t xml:space="preserve">the need to ensure </w:t>
            </w:r>
            <w:r w:rsidRPr="00AC68F9">
              <w:rPr>
                <w:sz w:val="22"/>
              </w:rPr>
              <w:t>appropriate cases</w:t>
            </w:r>
            <w:r w:rsidR="00203DE6" w:rsidRPr="00AC68F9">
              <w:rPr>
                <w:sz w:val="22"/>
              </w:rPr>
              <w:t xml:space="preserve"> are referred </w:t>
            </w:r>
            <w:r w:rsidRPr="00AC68F9">
              <w:rPr>
                <w:sz w:val="22"/>
              </w:rPr>
              <w:t xml:space="preserve">to Legal Services in a </w:t>
            </w:r>
            <w:r w:rsidR="00E83EDA" w:rsidRPr="00AC68F9">
              <w:rPr>
                <w:sz w:val="22"/>
              </w:rPr>
              <w:t>consistent way</w:t>
            </w:r>
            <w:r w:rsidR="00203DE6" w:rsidRPr="00AC68F9">
              <w:rPr>
                <w:sz w:val="22"/>
              </w:rPr>
              <w:t xml:space="preserve"> has been identified.  Discussions have been held with Legal Services to develop standard processes for cases to be referred</w:t>
            </w:r>
            <w:r w:rsidR="00C92539" w:rsidRPr="00AC68F9">
              <w:rPr>
                <w:sz w:val="22"/>
              </w:rPr>
              <w:t>.</w:t>
            </w:r>
          </w:p>
          <w:p w:rsidR="00AC68F9" w:rsidRPr="00AC68F9" w:rsidRDefault="00AC68F9" w:rsidP="00AC68F9">
            <w:pPr>
              <w:pStyle w:val="ListParagraph"/>
              <w:rPr>
                <w:sz w:val="22"/>
              </w:rPr>
            </w:pPr>
          </w:p>
          <w:p w:rsidR="00AC68F9" w:rsidRDefault="00AC68F9" w:rsidP="00AC68F9">
            <w:pPr>
              <w:pStyle w:val="ListParagraph"/>
              <w:numPr>
                <w:ilvl w:val="0"/>
                <w:numId w:val="27"/>
              </w:numPr>
              <w:rPr>
                <w:b/>
                <w:sz w:val="22"/>
              </w:rPr>
            </w:pPr>
            <w:r>
              <w:rPr>
                <w:b/>
                <w:sz w:val="22"/>
              </w:rPr>
              <w:t>Appointment of a new external Debt Collection Agency</w:t>
            </w:r>
            <w:r w:rsidR="00B16E8E">
              <w:rPr>
                <w:b/>
                <w:sz w:val="22"/>
              </w:rPr>
              <w:t xml:space="preserve"> (DCA)</w:t>
            </w:r>
          </w:p>
          <w:p w:rsidR="00AC68F9" w:rsidRDefault="00AC68F9" w:rsidP="0064286C">
            <w:pPr>
              <w:pStyle w:val="ListParagraph"/>
              <w:rPr>
                <w:sz w:val="22"/>
              </w:rPr>
            </w:pPr>
          </w:p>
          <w:p w:rsidR="00946153" w:rsidRPr="00946153" w:rsidRDefault="0064286C" w:rsidP="00673387">
            <w:pPr>
              <w:pStyle w:val="ListParagraph"/>
              <w:rPr>
                <w:sz w:val="22"/>
              </w:rPr>
            </w:pPr>
            <w:r>
              <w:rPr>
                <w:sz w:val="22"/>
              </w:rPr>
              <w:t xml:space="preserve">A new external contract for Debt Collection Services was awarded to Rossendales in June 2014. </w:t>
            </w:r>
            <w:r w:rsidRPr="009149DF">
              <w:rPr>
                <w:sz w:val="22"/>
              </w:rPr>
              <w:t xml:space="preserve">The contract is designed to operate in a competitive environment rewarding collection success and developing added value through a collaborative partnership approach with our internal Debt Team. </w:t>
            </w:r>
            <w:r w:rsidR="00F43A63" w:rsidRPr="009149DF">
              <w:rPr>
                <w:sz w:val="22"/>
              </w:rPr>
              <w:t>Referral to external agencies currently only includes</w:t>
            </w:r>
            <w:r w:rsidRPr="0098567F">
              <w:rPr>
                <w:sz w:val="22"/>
              </w:rPr>
              <w:t xml:space="preserve"> non-care cases with flow controlled by the Debt Manager as part </w:t>
            </w:r>
            <w:r w:rsidRPr="009149DF">
              <w:rPr>
                <w:sz w:val="22"/>
              </w:rPr>
              <w:t xml:space="preserve">of his planning and delivery of an effective collection strategy. </w:t>
            </w:r>
            <w:r>
              <w:rPr>
                <w:sz w:val="22"/>
              </w:rPr>
              <w:t xml:space="preserve">The initial feedback on progress to date has been </w:t>
            </w:r>
            <w:r w:rsidR="00F43A63">
              <w:rPr>
                <w:sz w:val="22"/>
              </w:rPr>
              <w:t>positive</w:t>
            </w:r>
            <w:r w:rsidR="00AC68F9">
              <w:rPr>
                <w:sz w:val="22"/>
              </w:rPr>
              <w:t xml:space="preserve"> </w:t>
            </w:r>
            <w:r w:rsidR="00C92539">
              <w:rPr>
                <w:sz w:val="22"/>
              </w:rPr>
              <w:t xml:space="preserve">with over £50k of debt recovered in </w:t>
            </w:r>
            <w:r w:rsidR="00C92539" w:rsidRPr="00B16E8E">
              <w:rPr>
                <w:sz w:val="22"/>
              </w:rPr>
              <w:t>recent months</w:t>
            </w:r>
            <w:r w:rsidR="00C92539">
              <w:rPr>
                <w:sz w:val="22"/>
              </w:rPr>
              <w:t xml:space="preserve"> from cases that were considered to be challenging due to their age and type.  T</w:t>
            </w:r>
            <w:r>
              <w:rPr>
                <w:sz w:val="22"/>
              </w:rPr>
              <w:t>he</w:t>
            </w:r>
            <w:r w:rsidR="00460DC4">
              <w:rPr>
                <w:sz w:val="22"/>
              </w:rPr>
              <w:t xml:space="preserve">re is </w:t>
            </w:r>
            <w:r w:rsidR="00C92539">
              <w:rPr>
                <w:sz w:val="22"/>
              </w:rPr>
              <w:t xml:space="preserve">also </w:t>
            </w:r>
            <w:r w:rsidR="00460DC4">
              <w:rPr>
                <w:sz w:val="22"/>
              </w:rPr>
              <w:t>scope for greater success</w:t>
            </w:r>
            <w:r w:rsidR="005B4129">
              <w:rPr>
                <w:sz w:val="22"/>
              </w:rPr>
              <w:t xml:space="preserve"> once the ICT </w:t>
            </w:r>
            <w:r>
              <w:rPr>
                <w:sz w:val="22"/>
              </w:rPr>
              <w:t>solution to debt strategies is implemented</w:t>
            </w:r>
            <w:r w:rsidR="00B42BB1">
              <w:rPr>
                <w:sz w:val="22"/>
              </w:rPr>
              <w:t>.</w:t>
            </w:r>
          </w:p>
        </w:tc>
      </w:tr>
      <w:tr w:rsidR="00403CAA" w:rsidRPr="001E430D" w:rsidTr="00EA4206">
        <w:tc>
          <w:tcPr>
            <w:tcW w:w="10237" w:type="dxa"/>
            <w:gridSpan w:val="2"/>
          </w:tcPr>
          <w:p w:rsidR="00403CAA" w:rsidRPr="001E430D" w:rsidRDefault="00403CAA" w:rsidP="00403CAA">
            <w:pPr>
              <w:rPr>
                <w:b/>
                <w:sz w:val="22"/>
                <w:szCs w:val="22"/>
              </w:rPr>
            </w:pPr>
            <w:r w:rsidRPr="001E430D">
              <w:rPr>
                <w:b/>
                <w:sz w:val="22"/>
                <w:szCs w:val="22"/>
              </w:rPr>
              <w:lastRenderedPageBreak/>
              <w:t>What actions are required to put it back on track?</w:t>
            </w:r>
            <w:r w:rsidR="00161421" w:rsidRPr="001E430D">
              <w:rPr>
                <w:b/>
                <w:sz w:val="22"/>
                <w:szCs w:val="22"/>
              </w:rPr>
              <w:t xml:space="preserve"> What action will be taken?</w:t>
            </w:r>
          </w:p>
          <w:p w:rsidR="00403CAA" w:rsidRPr="001E430D" w:rsidRDefault="00403CAA" w:rsidP="00403CAA">
            <w:pPr>
              <w:pStyle w:val="ListParagraph"/>
              <w:spacing w:after="0" w:line="240" w:lineRule="auto"/>
              <w:ind w:left="360"/>
              <w:jc w:val="both"/>
              <w:rPr>
                <w:sz w:val="22"/>
              </w:rPr>
            </w:pPr>
          </w:p>
        </w:tc>
      </w:tr>
      <w:tr w:rsidR="00257F11" w:rsidRPr="00C60657" w:rsidTr="00A567FC">
        <w:tc>
          <w:tcPr>
            <w:tcW w:w="10237" w:type="dxa"/>
            <w:gridSpan w:val="2"/>
          </w:tcPr>
          <w:p w:rsidR="00D56C75" w:rsidRPr="00766098" w:rsidRDefault="00D56C75" w:rsidP="00D56C75">
            <w:pPr>
              <w:rPr>
                <w:rFonts w:cs="Arial"/>
                <w:sz w:val="22"/>
                <w:szCs w:val="22"/>
              </w:rPr>
            </w:pPr>
            <w:r>
              <w:rPr>
                <w:rFonts w:cs="Arial"/>
                <w:sz w:val="22"/>
                <w:szCs w:val="22"/>
              </w:rPr>
              <w:lastRenderedPageBreak/>
              <w:t>I</w:t>
            </w:r>
            <w:r w:rsidRPr="00766098">
              <w:rPr>
                <w:rFonts w:cs="Arial"/>
                <w:sz w:val="22"/>
                <w:szCs w:val="22"/>
              </w:rPr>
              <w:t xml:space="preserve">t </w:t>
            </w:r>
            <w:r>
              <w:rPr>
                <w:rFonts w:cs="Arial"/>
                <w:sz w:val="22"/>
                <w:szCs w:val="22"/>
              </w:rPr>
              <w:t xml:space="preserve">is clearly </w:t>
            </w:r>
            <w:r w:rsidRPr="00766098">
              <w:rPr>
                <w:rFonts w:cs="Arial"/>
                <w:sz w:val="22"/>
                <w:szCs w:val="22"/>
              </w:rPr>
              <w:t xml:space="preserve">in the interests of the County Council to </w:t>
            </w:r>
            <w:r>
              <w:rPr>
                <w:rFonts w:cs="Arial"/>
                <w:sz w:val="22"/>
                <w:szCs w:val="22"/>
              </w:rPr>
              <w:t xml:space="preserve">ensure </w:t>
            </w:r>
            <w:r w:rsidRPr="00766098">
              <w:rPr>
                <w:rFonts w:cs="Arial"/>
                <w:sz w:val="22"/>
                <w:szCs w:val="22"/>
              </w:rPr>
              <w:t xml:space="preserve">income </w:t>
            </w:r>
            <w:r>
              <w:rPr>
                <w:rFonts w:cs="Arial"/>
                <w:sz w:val="22"/>
                <w:szCs w:val="22"/>
              </w:rPr>
              <w:t xml:space="preserve">due </w:t>
            </w:r>
            <w:r w:rsidRPr="00766098">
              <w:rPr>
                <w:rFonts w:cs="Arial"/>
                <w:sz w:val="22"/>
                <w:szCs w:val="22"/>
              </w:rPr>
              <w:t>f</w:t>
            </w:r>
            <w:r>
              <w:rPr>
                <w:rFonts w:cs="Arial"/>
                <w:sz w:val="22"/>
                <w:szCs w:val="22"/>
              </w:rPr>
              <w:t>or</w:t>
            </w:r>
            <w:r w:rsidRPr="00766098">
              <w:rPr>
                <w:rFonts w:cs="Arial"/>
                <w:sz w:val="22"/>
                <w:szCs w:val="22"/>
              </w:rPr>
              <w:t xml:space="preserve"> chargeable services </w:t>
            </w:r>
            <w:r>
              <w:rPr>
                <w:rFonts w:cs="Arial"/>
                <w:sz w:val="22"/>
                <w:szCs w:val="22"/>
              </w:rPr>
              <w:t xml:space="preserve">is realised at </w:t>
            </w:r>
            <w:r w:rsidRPr="00766098">
              <w:rPr>
                <w:rFonts w:cs="Arial"/>
                <w:sz w:val="22"/>
                <w:szCs w:val="22"/>
              </w:rPr>
              <w:t xml:space="preserve">the earliest </w:t>
            </w:r>
            <w:r w:rsidR="00836E88" w:rsidRPr="00766098">
              <w:rPr>
                <w:rFonts w:cs="Arial"/>
                <w:sz w:val="22"/>
                <w:szCs w:val="22"/>
              </w:rPr>
              <w:t>opportunity</w:t>
            </w:r>
            <w:r w:rsidR="00836E88">
              <w:rPr>
                <w:rFonts w:cs="Arial"/>
                <w:sz w:val="22"/>
                <w:szCs w:val="22"/>
              </w:rPr>
              <w:t>, not</w:t>
            </w:r>
            <w:r>
              <w:rPr>
                <w:rFonts w:cs="Arial"/>
                <w:sz w:val="22"/>
                <w:szCs w:val="22"/>
              </w:rPr>
              <w:t xml:space="preserve"> </w:t>
            </w:r>
            <w:r w:rsidRPr="00766098">
              <w:rPr>
                <w:rFonts w:cs="Arial"/>
                <w:sz w:val="22"/>
                <w:szCs w:val="22"/>
              </w:rPr>
              <w:t xml:space="preserve">only </w:t>
            </w:r>
            <w:r>
              <w:rPr>
                <w:rFonts w:cs="Arial"/>
                <w:sz w:val="22"/>
                <w:szCs w:val="22"/>
              </w:rPr>
              <w:t xml:space="preserve">to </w:t>
            </w:r>
            <w:r w:rsidRPr="00766098">
              <w:rPr>
                <w:rFonts w:cs="Arial"/>
                <w:sz w:val="22"/>
                <w:szCs w:val="22"/>
              </w:rPr>
              <w:t xml:space="preserve">aid cash </w:t>
            </w:r>
            <w:r w:rsidR="00E62061" w:rsidRPr="00766098">
              <w:rPr>
                <w:rFonts w:cs="Arial"/>
                <w:sz w:val="22"/>
                <w:szCs w:val="22"/>
              </w:rPr>
              <w:t xml:space="preserve">flow </w:t>
            </w:r>
            <w:r w:rsidR="00E62061">
              <w:rPr>
                <w:rFonts w:cs="Arial"/>
                <w:sz w:val="22"/>
                <w:szCs w:val="22"/>
              </w:rPr>
              <w:t>but</w:t>
            </w:r>
            <w:r w:rsidRPr="00766098">
              <w:rPr>
                <w:rFonts w:cs="Arial"/>
                <w:sz w:val="22"/>
                <w:szCs w:val="22"/>
              </w:rPr>
              <w:t xml:space="preserve"> </w:t>
            </w:r>
            <w:r>
              <w:rPr>
                <w:rFonts w:cs="Arial"/>
                <w:sz w:val="22"/>
                <w:szCs w:val="22"/>
              </w:rPr>
              <w:t xml:space="preserve">to </w:t>
            </w:r>
            <w:r w:rsidRPr="00766098">
              <w:rPr>
                <w:rFonts w:cs="Arial"/>
                <w:sz w:val="22"/>
                <w:szCs w:val="22"/>
              </w:rPr>
              <w:t xml:space="preserve">minimise the </w:t>
            </w:r>
            <w:r w:rsidRPr="0098567F">
              <w:rPr>
                <w:rFonts w:cs="Arial"/>
                <w:sz w:val="22"/>
                <w:szCs w:val="22"/>
              </w:rPr>
              <w:t xml:space="preserve">resources </w:t>
            </w:r>
            <w:r w:rsidR="00D224CB" w:rsidRPr="0098567F">
              <w:rPr>
                <w:rFonts w:cs="Arial"/>
                <w:sz w:val="22"/>
                <w:szCs w:val="22"/>
              </w:rPr>
              <w:t xml:space="preserve">required for </w:t>
            </w:r>
            <w:r w:rsidRPr="0098567F">
              <w:rPr>
                <w:rFonts w:cs="Arial"/>
                <w:sz w:val="22"/>
                <w:szCs w:val="22"/>
              </w:rPr>
              <w:t xml:space="preserve">collection activity and reduce the risk of non-payment escalating into bad debt and the need for </w:t>
            </w:r>
            <w:r w:rsidRPr="00766098">
              <w:rPr>
                <w:rFonts w:cs="Arial"/>
                <w:sz w:val="22"/>
                <w:szCs w:val="22"/>
              </w:rPr>
              <w:t>subsequent write off.</w:t>
            </w:r>
          </w:p>
          <w:p w:rsidR="00302260" w:rsidRDefault="00302260" w:rsidP="00A567FC">
            <w:pPr>
              <w:rPr>
                <w:rFonts w:cs="Arial"/>
                <w:sz w:val="22"/>
                <w:szCs w:val="22"/>
              </w:rPr>
            </w:pPr>
          </w:p>
          <w:p w:rsidR="00836E88" w:rsidRPr="009149DF" w:rsidRDefault="00093DBD" w:rsidP="00B969BF">
            <w:pPr>
              <w:rPr>
                <w:rFonts w:cs="Arial"/>
                <w:sz w:val="22"/>
                <w:szCs w:val="22"/>
              </w:rPr>
            </w:pPr>
            <w:r>
              <w:rPr>
                <w:rFonts w:cs="Arial"/>
                <w:sz w:val="22"/>
                <w:szCs w:val="22"/>
              </w:rPr>
              <w:t xml:space="preserve">The </w:t>
            </w:r>
            <w:r w:rsidR="00450267">
              <w:rPr>
                <w:rFonts w:cs="Arial"/>
                <w:sz w:val="22"/>
                <w:szCs w:val="22"/>
              </w:rPr>
              <w:t xml:space="preserve">actions </w:t>
            </w:r>
            <w:r w:rsidR="0039218A">
              <w:rPr>
                <w:rFonts w:cs="Arial"/>
                <w:sz w:val="22"/>
                <w:szCs w:val="22"/>
              </w:rPr>
              <w:t xml:space="preserve">outlined </w:t>
            </w:r>
            <w:r w:rsidR="00AC68F9">
              <w:rPr>
                <w:rFonts w:cs="Arial"/>
                <w:sz w:val="22"/>
                <w:szCs w:val="22"/>
              </w:rPr>
              <w:t xml:space="preserve">set out in the previous section and </w:t>
            </w:r>
            <w:r w:rsidR="0039218A">
              <w:rPr>
                <w:rFonts w:cs="Arial"/>
                <w:sz w:val="22"/>
                <w:szCs w:val="22"/>
              </w:rPr>
              <w:t xml:space="preserve">below </w:t>
            </w:r>
            <w:r w:rsidR="00014F8D">
              <w:rPr>
                <w:rFonts w:cs="Arial"/>
                <w:sz w:val="22"/>
                <w:szCs w:val="22"/>
              </w:rPr>
              <w:t>feature within the County Treasurer's 201</w:t>
            </w:r>
            <w:r w:rsidR="00823B41">
              <w:rPr>
                <w:rFonts w:cs="Arial"/>
                <w:sz w:val="22"/>
                <w:szCs w:val="22"/>
              </w:rPr>
              <w:t xml:space="preserve">4/15 </w:t>
            </w:r>
            <w:r w:rsidR="00014F8D">
              <w:rPr>
                <w:rFonts w:cs="Arial"/>
                <w:sz w:val="22"/>
                <w:szCs w:val="22"/>
              </w:rPr>
              <w:t>Business Plan and centre</w:t>
            </w:r>
            <w:r w:rsidR="0035273C">
              <w:rPr>
                <w:rFonts w:cs="Arial"/>
                <w:sz w:val="22"/>
                <w:szCs w:val="22"/>
              </w:rPr>
              <w:t xml:space="preserve"> on the implementation of </w:t>
            </w:r>
            <w:r w:rsidR="00EF2ACE">
              <w:rPr>
                <w:rFonts w:cs="Arial"/>
                <w:sz w:val="22"/>
                <w:szCs w:val="22"/>
              </w:rPr>
              <w:t>a</w:t>
            </w:r>
            <w:r w:rsidR="00D90BE3">
              <w:rPr>
                <w:rFonts w:cs="Arial"/>
                <w:sz w:val="22"/>
                <w:szCs w:val="22"/>
              </w:rPr>
              <w:t xml:space="preserve"> new Income and</w:t>
            </w:r>
            <w:r w:rsidR="00EF2ACE">
              <w:rPr>
                <w:rFonts w:cs="Arial"/>
                <w:sz w:val="22"/>
                <w:szCs w:val="22"/>
              </w:rPr>
              <w:t xml:space="preserve"> </w:t>
            </w:r>
            <w:r w:rsidR="004D58BF">
              <w:rPr>
                <w:rFonts w:cs="Arial"/>
                <w:sz w:val="22"/>
                <w:szCs w:val="22"/>
              </w:rPr>
              <w:t>D</w:t>
            </w:r>
            <w:r w:rsidR="0094620F">
              <w:rPr>
                <w:rFonts w:cs="Arial"/>
                <w:sz w:val="22"/>
                <w:szCs w:val="22"/>
              </w:rPr>
              <w:t xml:space="preserve">ebt </w:t>
            </w:r>
            <w:r w:rsidR="004D58BF">
              <w:rPr>
                <w:rFonts w:cs="Arial"/>
                <w:sz w:val="22"/>
                <w:szCs w:val="22"/>
              </w:rPr>
              <w:t>M</w:t>
            </w:r>
            <w:r w:rsidR="009C0146">
              <w:rPr>
                <w:rFonts w:cs="Arial"/>
                <w:sz w:val="22"/>
                <w:szCs w:val="22"/>
              </w:rPr>
              <w:t>anagement</w:t>
            </w:r>
            <w:r w:rsidR="00D90BE3">
              <w:rPr>
                <w:rFonts w:cs="Arial"/>
                <w:sz w:val="22"/>
                <w:szCs w:val="22"/>
              </w:rPr>
              <w:t xml:space="preserve"> Policy</w:t>
            </w:r>
            <w:r w:rsidR="0087486F">
              <w:rPr>
                <w:rFonts w:cs="Arial"/>
                <w:sz w:val="22"/>
                <w:szCs w:val="22"/>
              </w:rPr>
              <w:t xml:space="preserve"> </w:t>
            </w:r>
            <w:r w:rsidR="0087486F" w:rsidRPr="0087486F">
              <w:rPr>
                <w:rFonts w:cs="Arial"/>
                <w:sz w:val="22"/>
                <w:szCs w:val="22"/>
              </w:rPr>
              <w:t>explicit</w:t>
            </w:r>
            <w:r w:rsidR="00EF2ACE">
              <w:rPr>
                <w:rFonts w:cs="Arial"/>
                <w:sz w:val="22"/>
                <w:szCs w:val="22"/>
              </w:rPr>
              <w:t xml:space="preserve">ly targeted at </w:t>
            </w:r>
            <w:r w:rsidR="002159BC" w:rsidRPr="0087486F">
              <w:rPr>
                <w:rFonts w:cs="Arial"/>
                <w:sz w:val="22"/>
                <w:szCs w:val="22"/>
              </w:rPr>
              <w:t xml:space="preserve">maximising the volume and value of income realised </w:t>
            </w:r>
            <w:r w:rsidR="00F82C96">
              <w:rPr>
                <w:rFonts w:cs="Arial"/>
                <w:sz w:val="22"/>
                <w:szCs w:val="22"/>
              </w:rPr>
              <w:t xml:space="preserve">and </w:t>
            </w:r>
            <w:r w:rsidR="00D90BE3">
              <w:rPr>
                <w:rFonts w:cs="Arial"/>
                <w:sz w:val="22"/>
                <w:szCs w:val="22"/>
              </w:rPr>
              <w:t>therefore reducing</w:t>
            </w:r>
            <w:r w:rsidR="00836E88">
              <w:rPr>
                <w:rFonts w:cs="Arial"/>
                <w:sz w:val="22"/>
                <w:szCs w:val="22"/>
              </w:rPr>
              <w:t xml:space="preserve"> the levels of outstanding debt. </w:t>
            </w:r>
            <w:r w:rsidR="00AC68F9">
              <w:rPr>
                <w:rFonts w:cs="Arial"/>
                <w:sz w:val="22"/>
                <w:szCs w:val="22"/>
              </w:rPr>
              <w:t>In addition to the ongoing work set out earlier in the report, the following actions are also underway;</w:t>
            </w:r>
          </w:p>
          <w:p w:rsidR="009564C6" w:rsidRDefault="009564C6" w:rsidP="00A567FC">
            <w:pPr>
              <w:rPr>
                <w:rFonts w:cs="Arial"/>
                <w:sz w:val="22"/>
              </w:rPr>
            </w:pPr>
          </w:p>
          <w:p w:rsidR="00AB0D6B" w:rsidRPr="00295A08" w:rsidRDefault="00AB0D6B" w:rsidP="00295A08">
            <w:pPr>
              <w:pStyle w:val="ListParagraph"/>
              <w:numPr>
                <w:ilvl w:val="0"/>
                <w:numId w:val="29"/>
              </w:numPr>
              <w:rPr>
                <w:rFonts w:cs="Arial"/>
                <w:b/>
                <w:sz w:val="22"/>
              </w:rPr>
            </w:pPr>
            <w:r w:rsidRPr="00295A08">
              <w:rPr>
                <w:rFonts w:cs="Arial"/>
                <w:b/>
                <w:sz w:val="22"/>
              </w:rPr>
              <w:t>Establishment of the Debt Management Programme Board</w:t>
            </w:r>
          </w:p>
          <w:p w:rsidR="00641806" w:rsidRDefault="00580D4C" w:rsidP="00641806">
            <w:pPr>
              <w:pStyle w:val="ListParagraph"/>
              <w:rPr>
                <w:rFonts w:cs="Arial"/>
                <w:sz w:val="22"/>
              </w:rPr>
            </w:pPr>
            <w:r>
              <w:rPr>
                <w:rFonts w:cs="Arial"/>
                <w:sz w:val="22"/>
              </w:rPr>
              <w:t>In order to build on the momentum achieved to date</w:t>
            </w:r>
            <w:r w:rsidR="00AC68F9">
              <w:rPr>
                <w:rFonts w:cs="Arial"/>
                <w:sz w:val="22"/>
              </w:rPr>
              <w:t xml:space="preserve"> and to ensure that the work undertaken achieves the required outcomes</w:t>
            </w:r>
            <w:r>
              <w:rPr>
                <w:rFonts w:cs="Arial"/>
                <w:sz w:val="22"/>
              </w:rPr>
              <w:t xml:space="preserve">, </w:t>
            </w:r>
            <w:r w:rsidR="00641806">
              <w:rPr>
                <w:rFonts w:cs="Arial"/>
                <w:sz w:val="22"/>
              </w:rPr>
              <w:t xml:space="preserve">a Debt </w:t>
            </w:r>
            <w:r w:rsidR="00623296">
              <w:rPr>
                <w:rFonts w:cs="Arial"/>
                <w:sz w:val="22"/>
              </w:rPr>
              <w:t>Management Programme</w:t>
            </w:r>
            <w:r w:rsidR="00641806">
              <w:rPr>
                <w:rFonts w:cs="Arial"/>
                <w:sz w:val="22"/>
              </w:rPr>
              <w:t xml:space="preserve"> Board</w:t>
            </w:r>
            <w:r>
              <w:rPr>
                <w:rFonts w:cs="Arial"/>
                <w:sz w:val="22"/>
              </w:rPr>
              <w:t xml:space="preserve"> has been established</w:t>
            </w:r>
            <w:r w:rsidR="00641806">
              <w:rPr>
                <w:rFonts w:cs="Arial"/>
                <w:sz w:val="22"/>
              </w:rPr>
              <w:t xml:space="preserve">. </w:t>
            </w:r>
            <w:r w:rsidR="00F82C96">
              <w:rPr>
                <w:rFonts w:cs="Arial"/>
                <w:sz w:val="22"/>
              </w:rPr>
              <w:t xml:space="preserve">This contains representatives from Financial Administration, Internal Audit and BTLS. </w:t>
            </w:r>
            <w:r w:rsidR="002D06D0">
              <w:rPr>
                <w:rFonts w:cs="Arial"/>
                <w:sz w:val="22"/>
              </w:rPr>
              <w:t>The aim of the Board is to provide</w:t>
            </w:r>
            <w:r w:rsidR="00641806">
              <w:rPr>
                <w:rFonts w:cs="Arial"/>
                <w:sz w:val="22"/>
              </w:rPr>
              <w:t xml:space="preserve"> a robust control and decision mak</w:t>
            </w:r>
            <w:r w:rsidR="002D06D0">
              <w:rPr>
                <w:rFonts w:cs="Arial"/>
                <w:sz w:val="22"/>
              </w:rPr>
              <w:t xml:space="preserve">ing function to ensure that </w:t>
            </w:r>
            <w:r w:rsidR="00641806">
              <w:rPr>
                <w:rFonts w:cs="Arial"/>
                <w:sz w:val="22"/>
              </w:rPr>
              <w:t>the different work strands</w:t>
            </w:r>
            <w:r w:rsidR="002D06D0">
              <w:rPr>
                <w:rFonts w:cs="Arial"/>
                <w:sz w:val="22"/>
              </w:rPr>
              <w:t xml:space="preserve"> relating to debt management</w:t>
            </w:r>
            <w:r w:rsidR="00641806">
              <w:rPr>
                <w:rFonts w:cs="Arial"/>
                <w:sz w:val="22"/>
              </w:rPr>
              <w:t xml:space="preserve"> are working towards the same key objectives and </w:t>
            </w:r>
            <w:r w:rsidR="00623296">
              <w:rPr>
                <w:rFonts w:cs="Arial"/>
                <w:sz w:val="22"/>
              </w:rPr>
              <w:t>clearly identify</w:t>
            </w:r>
            <w:r w:rsidR="002D06D0">
              <w:rPr>
                <w:rFonts w:cs="Arial"/>
                <w:sz w:val="22"/>
              </w:rPr>
              <w:t xml:space="preserve"> where they impa</w:t>
            </w:r>
            <w:r w:rsidR="00641806">
              <w:rPr>
                <w:rFonts w:cs="Arial"/>
                <w:sz w:val="22"/>
              </w:rPr>
              <w:t>ct on each other. The Board is chaired by the new Head of Exchequer Services.</w:t>
            </w:r>
          </w:p>
          <w:p w:rsidR="0002477E" w:rsidRDefault="0002477E" w:rsidP="00641806">
            <w:pPr>
              <w:pStyle w:val="ListParagraph"/>
              <w:rPr>
                <w:rFonts w:cs="Arial"/>
                <w:sz w:val="22"/>
              </w:rPr>
            </w:pPr>
          </w:p>
          <w:p w:rsidR="00673387" w:rsidRDefault="0002477E" w:rsidP="00673387">
            <w:pPr>
              <w:pStyle w:val="ListParagraph"/>
              <w:numPr>
                <w:ilvl w:val="0"/>
                <w:numId w:val="29"/>
              </w:numPr>
              <w:rPr>
                <w:rFonts w:cs="Arial"/>
                <w:b/>
                <w:sz w:val="22"/>
              </w:rPr>
            </w:pPr>
            <w:r w:rsidRPr="0002477E">
              <w:rPr>
                <w:rFonts w:cs="Arial"/>
                <w:b/>
                <w:sz w:val="22"/>
              </w:rPr>
              <w:t>Additional Resources allocated to the Debt Management Team</w:t>
            </w:r>
          </w:p>
          <w:p w:rsidR="00AC68F9" w:rsidRPr="00673387" w:rsidRDefault="000B26F0" w:rsidP="00673387">
            <w:pPr>
              <w:pStyle w:val="ListParagraph"/>
              <w:rPr>
                <w:rFonts w:cs="Arial"/>
                <w:b/>
                <w:sz w:val="22"/>
              </w:rPr>
            </w:pPr>
            <w:r w:rsidRPr="00673387">
              <w:rPr>
                <w:rFonts w:cs="Arial"/>
                <w:sz w:val="22"/>
              </w:rPr>
              <w:t>As the new systems and processes are being developed it is necessary for some of the existing data to be cleansed and ensure that</w:t>
            </w:r>
            <w:r w:rsidR="00AC68F9" w:rsidRPr="00673387">
              <w:rPr>
                <w:rFonts w:cs="Arial"/>
                <w:sz w:val="22"/>
              </w:rPr>
              <w:t xml:space="preserve"> resources can be targeted to </w:t>
            </w:r>
            <w:r w:rsidRPr="00673387">
              <w:rPr>
                <w:rFonts w:cs="Arial"/>
                <w:sz w:val="22"/>
              </w:rPr>
              <w:t>those debts that are truly re</w:t>
            </w:r>
            <w:r w:rsidR="00AC68F9" w:rsidRPr="00673387">
              <w:rPr>
                <w:rFonts w:cs="Arial"/>
                <w:sz w:val="22"/>
              </w:rPr>
              <w:t xml:space="preserve">coverable.  </w:t>
            </w:r>
            <w:r w:rsidR="00C03AC4" w:rsidRPr="00673387">
              <w:rPr>
                <w:rFonts w:cs="Arial"/>
                <w:sz w:val="22"/>
              </w:rPr>
              <w:t xml:space="preserve">A "cleanse and migrate" process </w:t>
            </w:r>
            <w:r w:rsidR="00AB1720" w:rsidRPr="00673387">
              <w:rPr>
                <w:rFonts w:cs="Arial"/>
                <w:sz w:val="22"/>
              </w:rPr>
              <w:t>is required fo</w:t>
            </w:r>
            <w:r w:rsidR="00E6145E" w:rsidRPr="00673387">
              <w:rPr>
                <w:rFonts w:cs="Arial"/>
                <w:sz w:val="22"/>
              </w:rPr>
              <w:t>r older debts prior to migrat</w:t>
            </w:r>
            <w:r w:rsidR="00BA4DA6" w:rsidRPr="00673387">
              <w:rPr>
                <w:rFonts w:cs="Arial"/>
                <w:sz w:val="22"/>
              </w:rPr>
              <w:t>ing</w:t>
            </w:r>
            <w:r w:rsidR="00AB1720" w:rsidRPr="00673387">
              <w:rPr>
                <w:rFonts w:cs="Arial"/>
                <w:sz w:val="22"/>
              </w:rPr>
              <w:t xml:space="preserve"> them into the new debt strategies system. </w:t>
            </w:r>
            <w:r w:rsidR="00C03AC4" w:rsidRPr="00673387">
              <w:rPr>
                <w:rFonts w:cs="Arial"/>
                <w:sz w:val="22"/>
              </w:rPr>
              <w:t xml:space="preserve"> Cases will either be immediately identified (against set criteria) as appropriate for write off and the correct authorisation sought or will involve telephone contact with the debtor to ascertain current circumstances and form a decision </w:t>
            </w:r>
            <w:r w:rsidR="00381499" w:rsidRPr="00673387">
              <w:rPr>
                <w:rFonts w:cs="Arial"/>
                <w:sz w:val="22"/>
              </w:rPr>
              <w:t>on whether the invoice should be assigned to a new strategy</w:t>
            </w:r>
            <w:r w:rsidR="00D224CB" w:rsidRPr="00673387">
              <w:rPr>
                <w:rFonts w:cs="Arial"/>
                <w:sz w:val="22"/>
              </w:rPr>
              <w:t xml:space="preserve">, referred to the </w:t>
            </w:r>
            <w:r w:rsidR="00D224CB" w:rsidRPr="00B16E8E">
              <w:rPr>
                <w:rFonts w:cs="Arial"/>
                <w:sz w:val="22"/>
              </w:rPr>
              <w:t>DCA</w:t>
            </w:r>
            <w:r w:rsidR="00D224CB" w:rsidRPr="00673387">
              <w:rPr>
                <w:rFonts w:cs="Arial"/>
                <w:sz w:val="22"/>
              </w:rPr>
              <w:t xml:space="preserve"> or Legal Services for recovery action</w:t>
            </w:r>
            <w:r w:rsidR="00381499" w:rsidRPr="00673387">
              <w:rPr>
                <w:rFonts w:cs="Arial"/>
                <w:sz w:val="22"/>
              </w:rPr>
              <w:t xml:space="preserve"> or </w:t>
            </w:r>
            <w:r w:rsidR="00D224CB" w:rsidRPr="00673387">
              <w:rPr>
                <w:rFonts w:cs="Arial"/>
                <w:sz w:val="22"/>
              </w:rPr>
              <w:t xml:space="preserve">be </w:t>
            </w:r>
            <w:r w:rsidR="00381499" w:rsidRPr="00673387">
              <w:rPr>
                <w:rFonts w:cs="Arial"/>
                <w:sz w:val="22"/>
              </w:rPr>
              <w:t xml:space="preserve">recommended </w:t>
            </w:r>
            <w:r w:rsidR="00D224CB" w:rsidRPr="00673387">
              <w:rPr>
                <w:rFonts w:cs="Arial"/>
                <w:sz w:val="22"/>
              </w:rPr>
              <w:t xml:space="preserve">for </w:t>
            </w:r>
            <w:r w:rsidR="00381499" w:rsidRPr="00673387">
              <w:rPr>
                <w:rFonts w:cs="Arial"/>
                <w:sz w:val="22"/>
              </w:rPr>
              <w:t xml:space="preserve">write off. </w:t>
            </w:r>
            <w:r w:rsidRPr="00673387">
              <w:rPr>
                <w:rFonts w:cs="Arial"/>
                <w:sz w:val="22"/>
              </w:rPr>
              <w:t xml:space="preserve"> </w:t>
            </w:r>
            <w:r w:rsidR="00AC68F9" w:rsidRPr="00673387">
              <w:rPr>
                <w:rFonts w:cs="Arial"/>
                <w:sz w:val="22"/>
              </w:rPr>
              <w:t xml:space="preserve"> </w:t>
            </w:r>
          </w:p>
          <w:p w:rsidR="00AC68F9" w:rsidRDefault="00AC68F9" w:rsidP="00C03AC4">
            <w:pPr>
              <w:pStyle w:val="ListParagraph"/>
              <w:rPr>
                <w:rFonts w:cs="Arial"/>
                <w:sz w:val="22"/>
              </w:rPr>
            </w:pPr>
          </w:p>
          <w:p w:rsidR="00C414E0" w:rsidRDefault="00AC68F9" w:rsidP="00673387">
            <w:pPr>
              <w:pStyle w:val="ListParagraph"/>
              <w:rPr>
                <w:rFonts w:cs="Arial"/>
                <w:sz w:val="22"/>
              </w:rPr>
            </w:pPr>
            <w:r>
              <w:rPr>
                <w:rFonts w:cs="Arial"/>
                <w:sz w:val="22"/>
              </w:rPr>
              <w:t xml:space="preserve">Given the scale and the volume of transactions this is not considered to be achievable within the current resources.  </w:t>
            </w:r>
            <w:r w:rsidR="000B26F0">
              <w:rPr>
                <w:rFonts w:cs="Arial"/>
                <w:sz w:val="22"/>
              </w:rPr>
              <w:t>Additional temporary resources have been agreed and the appointment process has just been completed and this extra resource will now start to have an impact in reducing the amount of debt outstanding to the County Council.</w:t>
            </w:r>
          </w:p>
          <w:p w:rsidR="00673387" w:rsidRPr="00673387" w:rsidRDefault="00673387" w:rsidP="00673387">
            <w:pPr>
              <w:pStyle w:val="ListParagraph"/>
              <w:rPr>
                <w:rFonts w:cs="Arial"/>
                <w:sz w:val="22"/>
              </w:rPr>
            </w:pPr>
          </w:p>
          <w:p w:rsidR="00673387" w:rsidRDefault="00A20658" w:rsidP="00673387">
            <w:pPr>
              <w:pStyle w:val="ListParagraph"/>
              <w:numPr>
                <w:ilvl w:val="0"/>
                <w:numId w:val="29"/>
              </w:numPr>
              <w:rPr>
                <w:b/>
                <w:sz w:val="22"/>
              </w:rPr>
            </w:pPr>
            <w:r>
              <w:rPr>
                <w:b/>
                <w:sz w:val="22"/>
              </w:rPr>
              <w:t xml:space="preserve">Utilising </w:t>
            </w:r>
            <w:r w:rsidR="005214F6" w:rsidRPr="00A82EC1">
              <w:rPr>
                <w:b/>
                <w:sz w:val="22"/>
              </w:rPr>
              <w:t xml:space="preserve">information </w:t>
            </w:r>
            <w:r w:rsidR="00BC46BE" w:rsidRPr="00A82EC1">
              <w:rPr>
                <w:b/>
                <w:sz w:val="22"/>
              </w:rPr>
              <w:t>technolo</w:t>
            </w:r>
            <w:r w:rsidR="00A31D00" w:rsidRPr="00A82EC1">
              <w:rPr>
                <w:b/>
                <w:sz w:val="22"/>
              </w:rPr>
              <w:t>gy</w:t>
            </w:r>
            <w:r w:rsidR="00AE401F" w:rsidRPr="00A82EC1">
              <w:rPr>
                <w:b/>
                <w:sz w:val="22"/>
              </w:rPr>
              <w:t xml:space="preserve"> </w:t>
            </w:r>
            <w:r w:rsidR="004A1645" w:rsidRPr="00A82EC1">
              <w:rPr>
                <w:b/>
                <w:sz w:val="22"/>
              </w:rPr>
              <w:t>to improve collection success</w:t>
            </w:r>
          </w:p>
          <w:p w:rsidR="0085291C" w:rsidRPr="00673387" w:rsidRDefault="002255B2" w:rsidP="00673387">
            <w:pPr>
              <w:pStyle w:val="ListParagraph"/>
              <w:rPr>
                <w:b/>
                <w:sz w:val="22"/>
              </w:rPr>
            </w:pPr>
            <w:r w:rsidRPr="00673387">
              <w:rPr>
                <w:sz w:val="22"/>
              </w:rPr>
              <w:t xml:space="preserve">Internal processes within the debt teams have been reviewed to ensure workflows are efficient and support the changes made within the ICT systems.  The success of the changes to the ICT </w:t>
            </w:r>
            <w:r w:rsidRPr="00673387">
              <w:rPr>
                <w:sz w:val="22"/>
              </w:rPr>
              <w:lastRenderedPageBreak/>
              <w:t xml:space="preserve">systems will </w:t>
            </w:r>
            <w:r w:rsidRPr="00B16E8E">
              <w:rPr>
                <w:strike/>
                <w:sz w:val="22"/>
              </w:rPr>
              <w:t>be</w:t>
            </w:r>
            <w:r w:rsidRPr="00673387">
              <w:rPr>
                <w:sz w:val="22"/>
              </w:rPr>
              <w:t xml:space="preserve"> therefore be further enhanced by the changes in the ways of working within the team and the ability to analyse data more effectively and efficiently to provide quality management information.  </w:t>
            </w:r>
            <w:r w:rsidR="00A70AB5" w:rsidRPr="00673387">
              <w:rPr>
                <w:sz w:val="22"/>
              </w:rPr>
              <w:t>The</w:t>
            </w:r>
            <w:r w:rsidR="00BA6F15" w:rsidRPr="00673387">
              <w:rPr>
                <w:sz w:val="22"/>
              </w:rPr>
              <w:t xml:space="preserve"> successful achievement of the go-live date for the new debt strategies system will result in significant improvements in the debt management process:</w:t>
            </w:r>
          </w:p>
          <w:p w:rsidR="00BA6F15" w:rsidRDefault="00BA6F15" w:rsidP="005214F6">
            <w:pPr>
              <w:pStyle w:val="ListParagraph"/>
              <w:rPr>
                <w:sz w:val="22"/>
              </w:rPr>
            </w:pPr>
          </w:p>
          <w:p w:rsidR="00A70AB5" w:rsidRDefault="00A82EC1" w:rsidP="00A70AB5">
            <w:pPr>
              <w:pStyle w:val="ListParagraph"/>
              <w:numPr>
                <w:ilvl w:val="0"/>
                <w:numId w:val="16"/>
              </w:numPr>
              <w:rPr>
                <w:sz w:val="22"/>
              </w:rPr>
            </w:pPr>
            <w:r w:rsidRPr="005214F6">
              <w:rPr>
                <w:sz w:val="22"/>
              </w:rPr>
              <w:t>Effective</w:t>
            </w:r>
            <w:r w:rsidR="00814F93" w:rsidRPr="005214F6">
              <w:rPr>
                <w:sz w:val="22"/>
              </w:rPr>
              <w:t xml:space="preserve"> debt reporting </w:t>
            </w:r>
            <w:r w:rsidR="00DC25A6">
              <w:rPr>
                <w:sz w:val="22"/>
              </w:rPr>
              <w:t xml:space="preserve">to be produced </w:t>
            </w:r>
            <w:r w:rsidR="004E2478" w:rsidRPr="005214F6">
              <w:rPr>
                <w:sz w:val="22"/>
              </w:rPr>
              <w:t>at</w:t>
            </w:r>
            <w:r w:rsidR="0096356A" w:rsidRPr="005214F6">
              <w:rPr>
                <w:sz w:val="22"/>
              </w:rPr>
              <w:t xml:space="preserve"> </w:t>
            </w:r>
            <w:r w:rsidR="00AE401F" w:rsidRPr="005214F6">
              <w:rPr>
                <w:sz w:val="22"/>
              </w:rPr>
              <w:t xml:space="preserve">an appropriate </w:t>
            </w:r>
            <w:r w:rsidR="005214F6" w:rsidRPr="005214F6">
              <w:rPr>
                <w:sz w:val="22"/>
              </w:rPr>
              <w:t>level of detai</w:t>
            </w:r>
            <w:r w:rsidR="005214F6">
              <w:rPr>
                <w:sz w:val="22"/>
              </w:rPr>
              <w:t>l</w:t>
            </w:r>
            <w:r w:rsidR="00DC25A6">
              <w:rPr>
                <w:sz w:val="22"/>
              </w:rPr>
              <w:t xml:space="preserve">, by client </w:t>
            </w:r>
            <w:r>
              <w:rPr>
                <w:sz w:val="22"/>
              </w:rPr>
              <w:t>and in a timely manner</w:t>
            </w:r>
            <w:r w:rsidR="005214F6">
              <w:rPr>
                <w:sz w:val="22"/>
              </w:rPr>
              <w:t xml:space="preserve">. </w:t>
            </w:r>
          </w:p>
          <w:p w:rsidR="00062E3C" w:rsidRDefault="00A70AB5" w:rsidP="00A70AB5">
            <w:pPr>
              <w:pStyle w:val="ListParagraph"/>
              <w:numPr>
                <w:ilvl w:val="0"/>
                <w:numId w:val="16"/>
              </w:numPr>
              <w:rPr>
                <w:sz w:val="22"/>
              </w:rPr>
            </w:pPr>
            <w:r>
              <w:rPr>
                <w:sz w:val="22"/>
              </w:rPr>
              <w:t xml:space="preserve">Improved </w:t>
            </w:r>
            <w:r w:rsidR="00062E3C">
              <w:rPr>
                <w:sz w:val="22"/>
              </w:rPr>
              <w:t>and more autom</w:t>
            </w:r>
            <w:r w:rsidR="00752945">
              <w:rPr>
                <w:sz w:val="22"/>
              </w:rPr>
              <w:t xml:space="preserve">ated debt collection strategies resulting in an overall greater automation of the entire debt collection process. This will include progressing debt through to debt collection agencies, legal action and write off. </w:t>
            </w:r>
            <w:r w:rsidR="00C03AC4">
              <w:rPr>
                <w:sz w:val="22"/>
              </w:rPr>
              <w:t xml:space="preserve">The redesign of the debt strategies will result in a greater differentiation between cases within Accounts Receivable which will assist in prioritising/targeting collection effort more effectively. </w:t>
            </w:r>
          </w:p>
          <w:p w:rsidR="00A70AB5" w:rsidRDefault="00752945" w:rsidP="00A70AB5">
            <w:pPr>
              <w:pStyle w:val="ListParagraph"/>
              <w:numPr>
                <w:ilvl w:val="0"/>
                <w:numId w:val="16"/>
              </w:numPr>
              <w:rPr>
                <w:sz w:val="22"/>
              </w:rPr>
            </w:pPr>
            <w:r>
              <w:rPr>
                <w:sz w:val="22"/>
              </w:rPr>
              <w:t>Improved letter and email templates to be distributed to debtors</w:t>
            </w:r>
          </w:p>
          <w:p w:rsidR="00752945" w:rsidRPr="0098567F" w:rsidRDefault="00752945" w:rsidP="00A70AB5">
            <w:pPr>
              <w:pStyle w:val="ListParagraph"/>
              <w:numPr>
                <w:ilvl w:val="0"/>
                <w:numId w:val="16"/>
              </w:numPr>
              <w:rPr>
                <w:sz w:val="22"/>
              </w:rPr>
            </w:pPr>
            <w:r>
              <w:rPr>
                <w:sz w:val="22"/>
              </w:rPr>
              <w:t xml:space="preserve">Enhanced printing and enveloping procedure that will collate letters in certain </w:t>
            </w:r>
            <w:r w:rsidR="00E6145E">
              <w:rPr>
                <w:sz w:val="22"/>
              </w:rPr>
              <w:t>circumstances</w:t>
            </w:r>
            <w:r>
              <w:rPr>
                <w:sz w:val="22"/>
              </w:rPr>
              <w:t xml:space="preserve"> consolidate summary information and create statements. This should result in debtors receiving clearer information on the debt that they owe to the County Council. </w:t>
            </w:r>
          </w:p>
          <w:p w:rsidR="003D7F8B" w:rsidRDefault="003D7F8B" w:rsidP="00A70AB5">
            <w:pPr>
              <w:pStyle w:val="ListParagraph"/>
              <w:numPr>
                <w:ilvl w:val="0"/>
                <w:numId w:val="16"/>
              </w:numPr>
              <w:rPr>
                <w:sz w:val="22"/>
              </w:rPr>
            </w:pPr>
            <w:r w:rsidRPr="0098567F">
              <w:rPr>
                <w:sz w:val="22"/>
              </w:rPr>
              <w:t>Use of automated Oracle workflow functionality to manage internal invoice query resolution, freeing collector resources.</w:t>
            </w:r>
          </w:p>
          <w:p w:rsidR="00A20658" w:rsidRPr="00E6145E" w:rsidRDefault="00752945" w:rsidP="00E6145E">
            <w:pPr>
              <w:pStyle w:val="ListParagraph"/>
              <w:numPr>
                <w:ilvl w:val="0"/>
                <w:numId w:val="16"/>
              </w:numPr>
              <w:rPr>
                <w:sz w:val="22"/>
              </w:rPr>
            </w:pPr>
            <w:r>
              <w:rPr>
                <w:sz w:val="22"/>
              </w:rPr>
              <w:t>Movement towards p</w:t>
            </w:r>
            <w:r w:rsidR="00DC25A6" w:rsidRPr="00752945">
              <w:rPr>
                <w:sz w:val="22"/>
              </w:rPr>
              <w:t>ap</w:t>
            </w:r>
            <w:r w:rsidR="00AE401F" w:rsidRPr="00752945">
              <w:rPr>
                <w:sz w:val="22"/>
              </w:rPr>
              <w:t>erless direct debit</w:t>
            </w:r>
            <w:r w:rsidR="00DC25A6" w:rsidRPr="00752945">
              <w:rPr>
                <w:sz w:val="22"/>
              </w:rPr>
              <w:t xml:space="preserve">s </w:t>
            </w:r>
            <w:r>
              <w:rPr>
                <w:sz w:val="22"/>
              </w:rPr>
              <w:t>wherever possible to</w:t>
            </w:r>
            <w:r w:rsidR="00A31D00" w:rsidRPr="00752945">
              <w:rPr>
                <w:sz w:val="22"/>
              </w:rPr>
              <w:t xml:space="preserve"> </w:t>
            </w:r>
            <w:r w:rsidR="00BD306E" w:rsidRPr="00752945">
              <w:rPr>
                <w:sz w:val="22"/>
              </w:rPr>
              <w:t>secure</w:t>
            </w:r>
            <w:r w:rsidR="00AE401F" w:rsidRPr="00752945">
              <w:rPr>
                <w:sz w:val="22"/>
              </w:rPr>
              <w:t xml:space="preserve"> direct debit payment agreements immediately</w:t>
            </w:r>
            <w:r w:rsidR="00BD306E" w:rsidRPr="00752945">
              <w:rPr>
                <w:sz w:val="22"/>
              </w:rPr>
              <w:t xml:space="preserve"> (whilst in discussion with the debtor by phone) thus</w:t>
            </w:r>
            <w:r w:rsidR="00A31D00" w:rsidRPr="00752945">
              <w:rPr>
                <w:sz w:val="22"/>
              </w:rPr>
              <w:t xml:space="preserve"> removing</w:t>
            </w:r>
            <w:r w:rsidR="00AE401F" w:rsidRPr="00752945">
              <w:rPr>
                <w:sz w:val="22"/>
              </w:rPr>
              <w:t xml:space="preserve"> the opportunity for default associated with </w:t>
            </w:r>
            <w:r w:rsidR="00BD306E" w:rsidRPr="00752945">
              <w:rPr>
                <w:sz w:val="22"/>
              </w:rPr>
              <w:t xml:space="preserve">the current requirement to </w:t>
            </w:r>
            <w:r w:rsidR="00AE401F" w:rsidRPr="00752945">
              <w:rPr>
                <w:sz w:val="22"/>
              </w:rPr>
              <w:t>exchange of paperwork by post.</w:t>
            </w:r>
          </w:p>
          <w:p w:rsidR="00B42BB1" w:rsidRPr="00673387" w:rsidRDefault="00B42BB1" w:rsidP="00673387">
            <w:pPr>
              <w:rPr>
                <w:sz w:val="22"/>
              </w:rPr>
            </w:pPr>
          </w:p>
          <w:p w:rsidR="00EE5E7C" w:rsidRPr="002255B2" w:rsidRDefault="00EE5E7C" w:rsidP="00295A08">
            <w:pPr>
              <w:pStyle w:val="ListParagraph"/>
              <w:numPr>
                <w:ilvl w:val="0"/>
                <w:numId w:val="29"/>
              </w:numPr>
              <w:rPr>
                <w:sz w:val="22"/>
              </w:rPr>
            </w:pPr>
            <w:r>
              <w:rPr>
                <w:b/>
                <w:sz w:val="22"/>
              </w:rPr>
              <w:t>Increased resources available to Budget Holders</w:t>
            </w:r>
          </w:p>
          <w:p w:rsidR="002255B2" w:rsidRPr="00EE5E7C" w:rsidRDefault="002255B2" w:rsidP="002255B2">
            <w:pPr>
              <w:pStyle w:val="ListParagraph"/>
              <w:rPr>
                <w:sz w:val="22"/>
              </w:rPr>
            </w:pPr>
          </w:p>
          <w:p w:rsidR="002255B2" w:rsidRDefault="00EE5E7C" w:rsidP="00EE5E7C">
            <w:pPr>
              <w:pStyle w:val="ListParagraph"/>
              <w:rPr>
                <w:sz w:val="22"/>
              </w:rPr>
            </w:pPr>
            <w:r>
              <w:rPr>
                <w:sz w:val="22"/>
              </w:rPr>
              <w:t>Budget Holders are a critical part of the process for recovering debts as they raise the invoice and often have the relationship with the debtor. In order to assist Budget Holders in recovering their debts</w:t>
            </w:r>
            <w:r w:rsidR="002255B2">
              <w:rPr>
                <w:sz w:val="22"/>
              </w:rPr>
              <w:t>, additional reports and guidance have been produced to support budget holders.  These include;</w:t>
            </w:r>
          </w:p>
          <w:p w:rsidR="0060102E" w:rsidRDefault="0060102E" w:rsidP="00EE5E7C">
            <w:pPr>
              <w:pStyle w:val="ListParagraph"/>
              <w:rPr>
                <w:sz w:val="22"/>
              </w:rPr>
            </w:pPr>
          </w:p>
          <w:p w:rsidR="00EE5E7C" w:rsidRDefault="00EE5E7C" w:rsidP="00EE5E7C">
            <w:pPr>
              <w:pStyle w:val="ListParagraph"/>
              <w:numPr>
                <w:ilvl w:val="0"/>
                <w:numId w:val="25"/>
              </w:numPr>
              <w:rPr>
                <w:sz w:val="22"/>
              </w:rPr>
            </w:pPr>
            <w:r>
              <w:rPr>
                <w:sz w:val="22"/>
              </w:rPr>
              <w:t>Regular summary and detailed information on unpaid invoices for their service area</w:t>
            </w:r>
          </w:p>
          <w:p w:rsidR="0060102E" w:rsidRPr="00673387" w:rsidRDefault="00EE5E7C" w:rsidP="00EE5E7C">
            <w:pPr>
              <w:pStyle w:val="ListParagraph"/>
              <w:numPr>
                <w:ilvl w:val="0"/>
                <w:numId w:val="25"/>
              </w:numPr>
              <w:rPr>
                <w:sz w:val="22"/>
              </w:rPr>
            </w:pPr>
            <w:r>
              <w:rPr>
                <w:sz w:val="22"/>
              </w:rPr>
              <w:t>Toolkits that provide "how to</w:t>
            </w:r>
            <w:r w:rsidR="00673387">
              <w:rPr>
                <w:sz w:val="22"/>
              </w:rPr>
              <w:t xml:space="preserve">" guides </w:t>
            </w:r>
            <w:r>
              <w:rPr>
                <w:sz w:val="22"/>
              </w:rPr>
              <w:t>and useful information</w:t>
            </w:r>
            <w:r w:rsidR="00673387">
              <w:rPr>
                <w:sz w:val="22"/>
              </w:rPr>
              <w:t xml:space="preserve"> targeted at budget holders</w:t>
            </w:r>
            <w:r>
              <w:rPr>
                <w:sz w:val="22"/>
              </w:rPr>
              <w:t xml:space="preserve"> </w:t>
            </w:r>
          </w:p>
          <w:p w:rsidR="0060102E" w:rsidRDefault="0060102E" w:rsidP="00EE5E7C">
            <w:pPr>
              <w:rPr>
                <w:b/>
                <w:sz w:val="22"/>
              </w:rPr>
            </w:pPr>
          </w:p>
          <w:p w:rsidR="000F5F40" w:rsidRPr="00C92539" w:rsidRDefault="0060102E" w:rsidP="00EE5E7C">
            <w:pPr>
              <w:rPr>
                <w:b/>
                <w:sz w:val="22"/>
              </w:rPr>
            </w:pPr>
            <w:r>
              <w:rPr>
                <w:b/>
                <w:sz w:val="22"/>
              </w:rPr>
              <w:t>CONCLUSION</w:t>
            </w:r>
          </w:p>
          <w:p w:rsidR="00C92539" w:rsidRDefault="00C92539" w:rsidP="00EE5E7C">
            <w:pPr>
              <w:rPr>
                <w:sz w:val="22"/>
              </w:rPr>
            </w:pPr>
          </w:p>
          <w:p w:rsidR="00C92539" w:rsidRDefault="00C92539" w:rsidP="00EE5E7C">
            <w:pPr>
              <w:rPr>
                <w:sz w:val="22"/>
              </w:rPr>
            </w:pPr>
            <w:r>
              <w:rPr>
                <w:sz w:val="22"/>
              </w:rPr>
              <w:t xml:space="preserve">A significant amount of work has been undertaken since the last </w:t>
            </w:r>
            <w:r w:rsidR="007F1926">
              <w:rPr>
                <w:sz w:val="22"/>
                <w:szCs w:val="22"/>
              </w:rPr>
              <w:t xml:space="preserve">Recovery Plan was presented to CCPI </w:t>
            </w:r>
            <w:r w:rsidR="007F1926" w:rsidRPr="007F1926">
              <w:rPr>
                <w:sz w:val="22"/>
              </w:rPr>
              <w:t xml:space="preserve">in October 2013, </w:t>
            </w:r>
            <w:r>
              <w:rPr>
                <w:sz w:val="22"/>
              </w:rPr>
              <w:t>however</w:t>
            </w:r>
            <w:r w:rsidR="007B5317">
              <w:rPr>
                <w:sz w:val="22"/>
              </w:rPr>
              <w:t>,</w:t>
            </w:r>
            <w:r>
              <w:rPr>
                <w:sz w:val="22"/>
              </w:rPr>
              <w:t xml:space="preserve"> the scale and complexity of the work involved has meant that progress has not been as fast as anticipated.  </w:t>
            </w:r>
            <w:r w:rsidR="002255B2">
              <w:rPr>
                <w:sz w:val="22"/>
              </w:rPr>
              <w:t xml:space="preserve">The </w:t>
            </w:r>
            <w:r w:rsidR="00673387">
              <w:rPr>
                <w:sz w:val="22"/>
              </w:rPr>
              <w:t>original scope of work</w:t>
            </w:r>
            <w:r w:rsidR="002255B2">
              <w:rPr>
                <w:sz w:val="22"/>
              </w:rPr>
              <w:t xml:space="preserve"> has</w:t>
            </w:r>
            <w:r w:rsidR="00673387">
              <w:rPr>
                <w:sz w:val="22"/>
              </w:rPr>
              <w:t xml:space="preserve"> </w:t>
            </w:r>
            <w:r w:rsidR="002255B2">
              <w:rPr>
                <w:sz w:val="22"/>
              </w:rPr>
              <w:t xml:space="preserve">been widened to incorporate more transformational activity to </w:t>
            </w:r>
            <w:r w:rsidR="00673387">
              <w:rPr>
                <w:sz w:val="22"/>
              </w:rPr>
              <w:t>improve</w:t>
            </w:r>
            <w:r w:rsidR="002255B2">
              <w:rPr>
                <w:sz w:val="22"/>
              </w:rPr>
              <w:t xml:space="preserve"> work processes and </w:t>
            </w:r>
            <w:r w:rsidR="00673387">
              <w:rPr>
                <w:sz w:val="22"/>
              </w:rPr>
              <w:t xml:space="preserve">enable </w:t>
            </w:r>
            <w:r w:rsidR="002255B2">
              <w:rPr>
                <w:sz w:val="22"/>
              </w:rPr>
              <w:t xml:space="preserve">systems to support more effective and efficient working practices which </w:t>
            </w:r>
            <w:r w:rsidR="00673387">
              <w:rPr>
                <w:sz w:val="22"/>
              </w:rPr>
              <w:t>will</w:t>
            </w:r>
            <w:r w:rsidR="002255B2">
              <w:rPr>
                <w:sz w:val="22"/>
              </w:rPr>
              <w:t xml:space="preserve"> have greater longer term benefits for the Council.  </w:t>
            </w:r>
            <w:r>
              <w:rPr>
                <w:sz w:val="22"/>
              </w:rPr>
              <w:t>Much of the detailed work is now complete and once the ICT systems have been re-configured to support the newly designed and transformed processes it is anticipated that the County Council will have</w:t>
            </w:r>
            <w:r w:rsidR="002255B2">
              <w:rPr>
                <w:sz w:val="22"/>
              </w:rPr>
              <w:t>, by the end of June, effective income and debt management policies and processes in place.  It is important that the work carried out to date continues to be monitored on a regular basis to ensure the required outcomes are ach</w:t>
            </w:r>
            <w:r w:rsidR="0060102E">
              <w:rPr>
                <w:sz w:val="22"/>
              </w:rPr>
              <w:t>ieved and progress will be monitored through future budget monitoring reports.</w:t>
            </w:r>
          </w:p>
          <w:p w:rsidR="00C92539" w:rsidRDefault="00C92539" w:rsidP="00EE5E7C">
            <w:pPr>
              <w:rPr>
                <w:sz w:val="22"/>
              </w:rPr>
            </w:pPr>
          </w:p>
          <w:p w:rsidR="00C92539" w:rsidRDefault="00C92539" w:rsidP="00EE5E7C">
            <w:pPr>
              <w:rPr>
                <w:sz w:val="22"/>
              </w:rPr>
            </w:pPr>
          </w:p>
          <w:p w:rsidR="00C92539" w:rsidRPr="00EE5E7C" w:rsidRDefault="00C92539" w:rsidP="00EE5E7C">
            <w:pPr>
              <w:rPr>
                <w:sz w:val="22"/>
              </w:rPr>
            </w:pPr>
          </w:p>
        </w:tc>
      </w:tr>
    </w:tbl>
    <w:p w:rsidR="00257F11" w:rsidRDefault="00257F11"/>
    <w:sectPr w:rsidR="00257F11" w:rsidSect="00174F25">
      <w:pgSz w:w="11906" w:h="16838"/>
      <w:pgMar w:top="1079" w:right="926" w:bottom="89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86F" w:rsidRDefault="000F686F" w:rsidP="00D44A54">
      <w:r>
        <w:separator/>
      </w:r>
    </w:p>
  </w:endnote>
  <w:endnote w:type="continuationSeparator" w:id="0">
    <w:p w:rsidR="000F686F" w:rsidRDefault="000F686F" w:rsidP="00D4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86F" w:rsidRDefault="000F686F" w:rsidP="00D44A54">
      <w:r>
        <w:separator/>
      </w:r>
    </w:p>
  </w:footnote>
  <w:footnote w:type="continuationSeparator" w:id="0">
    <w:p w:rsidR="000F686F" w:rsidRDefault="000F686F" w:rsidP="00D44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0900"/>
    <w:multiLevelType w:val="hybridMultilevel"/>
    <w:tmpl w:val="10F6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303C4"/>
    <w:multiLevelType w:val="hybridMultilevel"/>
    <w:tmpl w:val="5876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C4D55"/>
    <w:multiLevelType w:val="hybridMultilevel"/>
    <w:tmpl w:val="E49CF2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7E56A96"/>
    <w:multiLevelType w:val="hybridMultilevel"/>
    <w:tmpl w:val="B574B23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1AAD028D"/>
    <w:multiLevelType w:val="hybridMultilevel"/>
    <w:tmpl w:val="C252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034062"/>
    <w:multiLevelType w:val="hybridMultilevel"/>
    <w:tmpl w:val="637E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7B377C"/>
    <w:multiLevelType w:val="hybridMultilevel"/>
    <w:tmpl w:val="BB204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BA1310"/>
    <w:multiLevelType w:val="hybridMultilevel"/>
    <w:tmpl w:val="2B3297B6"/>
    <w:lvl w:ilvl="0" w:tplc="E3086BDA">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007E12"/>
    <w:multiLevelType w:val="hybridMultilevel"/>
    <w:tmpl w:val="8670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5E2076"/>
    <w:multiLevelType w:val="hybridMultilevel"/>
    <w:tmpl w:val="EA7A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8B16E2"/>
    <w:multiLevelType w:val="hybridMultilevel"/>
    <w:tmpl w:val="0AD6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AE2448"/>
    <w:multiLevelType w:val="hybridMultilevel"/>
    <w:tmpl w:val="B7281362"/>
    <w:lvl w:ilvl="0" w:tplc="B88431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AF4783"/>
    <w:multiLevelType w:val="hybridMultilevel"/>
    <w:tmpl w:val="38B85B4C"/>
    <w:lvl w:ilvl="0" w:tplc="D9089128">
      <w:start w:val="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9771615"/>
    <w:multiLevelType w:val="hybridMultilevel"/>
    <w:tmpl w:val="BDE20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AA27514"/>
    <w:multiLevelType w:val="hybridMultilevel"/>
    <w:tmpl w:val="D702EA62"/>
    <w:lvl w:ilvl="0" w:tplc="55E47A0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4140E9"/>
    <w:multiLevelType w:val="multilevel"/>
    <w:tmpl w:val="EF9CF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A01E5C"/>
    <w:multiLevelType w:val="hybridMultilevel"/>
    <w:tmpl w:val="E28CC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1D92CCB"/>
    <w:multiLevelType w:val="hybridMultilevel"/>
    <w:tmpl w:val="55529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7510DB0"/>
    <w:multiLevelType w:val="hybridMultilevel"/>
    <w:tmpl w:val="A3825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8EA5191"/>
    <w:multiLevelType w:val="hybridMultilevel"/>
    <w:tmpl w:val="C2689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0AD1410"/>
    <w:multiLevelType w:val="hybridMultilevel"/>
    <w:tmpl w:val="B658D140"/>
    <w:lvl w:ilvl="0" w:tplc="E3086BDA">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B0612D"/>
    <w:multiLevelType w:val="hybridMultilevel"/>
    <w:tmpl w:val="0824BB32"/>
    <w:lvl w:ilvl="0" w:tplc="22E8A9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785FB8"/>
    <w:multiLevelType w:val="multilevel"/>
    <w:tmpl w:val="A0821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Arial" w:eastAsia="Times New Roman" w:hAnsi="Arial" w:cs="Aria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F9D33F3"/>
    <w:multiLevelType w:val="hybridMultilevel"/>
    <w:tmpl w:val="5842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E060DF"/>
    <w:multiLevelType w:val="hybridMultilevel"/>
    <w:tmpl w:val="BDE81AF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7658639F"/>
    <w:multiLevelType w:val="hybridMultilevel"/>
    <w:tmpl w:val="1BE8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D63374"/>
    <w:multiLevelType w:val="hybridMultilevel"/>
    <w:tmpl w:val="0B3E9C24"/>
    <w:lvl w:ilvl="0" w:tplc="08090011">
      <w:start w:val="1"/>
      <w:numFmt w:val="decimal"/>
      <w:lvlText w:val="%1)"/>
      <w:lvlJc w:val="left"/>
      <w:pPr>
        <w:ind w:left="720" w:hanging="360"/>
      </w:pPr>
    </w:lvl>
    <w:lvl w:ilvl="1" w:tplc="6C8253AA">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79CC4F7D"/>
    <w:multiLevelType w:val="hybridMultilevel"/>
    <w:tmpl w:val="46CC6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A427E66"/>
    <w:multiLevelType w:val="multilevel"/>
    <w:tmpl w:val="DAD83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6"/>
  </w:num>
  <w:num w:numId="3">
    <w:abstractNumId w:val="9"/>
  </w:num>
  <w:num w:numId="4">
    <w:abstractNumId w:val="1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
  </w:num>
  <w:num w:numId="12">
    <w:abstractNumId w:val="16"/>
  </w:num>
  <w:num w:numId="13">
    <w:abstractNumId w:val="17"/>
  </w:num>
  <w:num w:numId="14">
    <w:abstractNumId w:val="5"/>
  </w:num>
  <w:num w:numId="15">
    <w:abstractNumId w:val="18"/>
  </w:num>
  <w:num w:numId="16">
    <w:abstractNumId w:val="13"/>
  </w:num>
  <w:num w:numId="17">
    <w:abstractNumId w:val="2"/>
  </w:num>
  <w:num w:numId="18">
    <w:abstractNumId w:val="8"/>
  </w:num>
  <w:num w:numId="19">
    <w:abstractNumId w:val="23"/>
  </w:num>
  <w:num w:numId="20">
    <w:abstractNumId w:val="7"/>
  </w:num>
  <w:num w:numId="21">
    <w:abstractNumId w:val="20"/>
  </w:num>
  <w:num w:numId="22">
    <w:abstractNumId w:val="27"/>
  </w:num>
  <w:num w:numId="23">
    <w:abstractNumId w:val="25"/>
  </w:num>
  <w:num w:numId="24">
    <w:abstractNumId w:val="12"/>
  </w:num>
  <w:num w:numId="25">
    <w:abstractNumId w:val="3"/>
  </w:num>
  <w:num w:numId="26">
    <w:abstractNumId w:val="10"/>
  </w:num>
  <w:num w:numId="27">
    <w:abstractNumId w:val="11"/>
  </w:num>
  <w:num w:numId="28">
    <w:abstractNumId w:val="19"/>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8C"/>
    <w:rsid w:val="00000CD3"/>
    <w:rsid w:val="00014F8D"/>
    <w:rsid w:val="0001626B"/>
    <w:rsid w:val="0002477E"/>
    <w:rsid w:val="000350C9"/>
    <w:rsid w:val="0004575A"/>
    <w:rsid w:val="000523C7"/>
    <w:rsid w:val="00053172"/>
    <w:rsid w:val="00060833"/>
    <w:rsid w:val="00062E3C"/>
    <w:rsid w:val="00066B9E"/>
    <w:rsid w:val="00077B59"/>
    <w:rsid w:val="00092107"/>
    <w:rsid w:val="00093A0C"/>
    <w:rsid w:val="00093DBD"/>
    <w:rsid w:val="000B26F0"/>
    <w:rsid w:val="000B6B2F"/>
    <w:rsid w:val="000C486F"/>
    <w:rsid w:val="000C48F6"/>
    <w:rsid w:val="000D516A"/>
    <w:rsid w:val="000F5F40"/>
    <w:rsid w:val="000F60B5"/>
    <w:rsid w:val="000F686F"/>
    <w:rsid w:val="0011272B"/>
    <w:rsid w:val="001206CB"/>
    <w:rsid w:val="00123BC4"/>
    <w:rsid w:val="00126BCE"/>
    <w:rsid w:val="00134055"/>
    <w:rsid w:val="00136492"/>
    <w:rsid w:val="0014198F"/>
    <w:rsid w:val="00144F8A"/>
    <w:rsid w:val="00161421"/>
    <w:rsid w:val="00174F25"/>
    <w:rsid w:val="00187D2C"/>
    <w:rsid w:val="00190664"/>
    <w:rsid w:val="00191897"/>
    <w:rsid w:val="00195962"/>
    <w:rsid w:val="001A3324"/>
    <w:rsid w:val="001A46AB"/>
    <w:rsid w:val="001A7DF9"/>
    <w:rsid w:val="001B2B9E"/>
    <w:rsid w:val="001E430D"/>
    <w:rsid w:val="001E76B1"/>
    <w:rsid w:val="00203DE6"/>
    <w:rsid w:val="002159BC"/>
    <w:rsid w:val="002253AB"/>
    <w:rsid w:val="002255B2"/>
    <w:rsid w:val="00231D99"/>
    <w:rsid w:val="00232C20"/>
    <w:rsid w:val="00252406"/>
    <w:rsid w:val="00257F11"/>
    <w:rsid w:val="00294468"/>
    <w:rsid w:val="00295A08"/>
    <w:rsid w:val="002A7CAB"/>
    <w:rsid w:val="002B1690"/>
    <w:rsid w:val="002B4912"/>
    <w:rsid w:val="002D06D0"/>
    <w:rsid w:val="002D447D"/>
    <w:rsid w:val="002D58D3"/>
    <w:rsid w:val="002E34DD"/>
    <w:rsid w:val="002E3C51"/>
    <w:rsid w:val="00302260"/>
    <w:rsid w:val="0030583A"/>
    <w:rsid w:val="00310272"/>
    <w:rsid w:val="00330BAA"/>
    <w:rsid w:val="00332FAE"/>
    <w:rsid w:val="00341256"/>
    <w:rsid w:val="00342F58"/>
    <w:rsid w:val="0034515C"/>
    <w:rsid w:val="0035273C"/>
    <w:rsid w:val="00356B78"/>
    <w:rsid w:val="003677D8"/>
    <w:rsid w:val="00370041"/>
    <w:rsid w:val="00381499"/>
    <w:rsid w:val="003848A9"/>
    <w:rsid w:val="00385AB4"/>
    <w:rsid w:val="00390F9C"/>
    <w:rsid w:val="0039218A"/>
    <w:rsid w:val="003A2456"/>
    <w:rsid w:val="003B327F"/>
    <w:rsid w:val="003B588E"/>
    <w:rsid w:val="003D7F8B"/>
    <w:rsid w:val="003E39FB"/>
    <w:rsid w:val="00403CAA"/>
    <w:rsid w:val="00404C0E"/>
    <w:rsid w:val="00414DF1"/>
    <w:rsid w:val="00417E6E"/>
    <w:rsid w:val="0042522A"/>
    <w:rsid w:val="0043720E"/>
    <w:rsid w:val="00450267"/>
    <w:rsid w:val="004522C1"/>
    <w:rsid w:val="00460DC4"/>
    <w:rsid w:val="00466D84"/>
    <w:rsid w:val="00470984"/>
    <w:rsid w:val="00480F90"/>
    <w:rsid w:val="00481A15"/>
    <w:rsid w:val="0048285D"/>
    <w:rsid w:val="00493484"/>
    <w:rsid w:val="00493A68"/>
    <w:rsid w:val="004A0A94"/>
    <w:rsid w:val="004A1645"/>
    <w:rsid w:val="004B0921"/>
    <w:rsid w:val="004C2F4A"/>
    <w:rsid w:val="004D58BF"/>
    <w:rsid w:val="004E2478"/>
    <w:rsid w:val="004E6B51"/>
    <w:rsid w:val="004F478E"/>
    <w:rsid w:val="00516153"/>
    <w:rsid w:val="005214F6"/>
    <w:rsid w:val="0052354D"/>
    <w:rsid w:val="0052569D"/>
    <w:rsid w:val="00535343"/>
    <w:rsid w:val="005477F9"/>
    <w:rsid w:val="005519C1"/>
    <w:rsid w:val="005558A6"/>
    <w:rsid w:val="005646BE"/>
    <w:rsid w:val="0057018C"/>
    <w:rsid w:val="005719AB"/>
    <w:rsid w:val="0057400B"/>
    <w:rsid w:val="00580D4C"/>
    <w:rsid w:val="005863EC"/>
    <w:rsid w:val="00586B97"/>
    <w:rsid w:val="005A625A"/>
    <w:rsid w:val="005A6BEF"/>
    <w:rsid w:val="005B04B5"/>
    <w:rsid w:val="005B4129"/>
    <w:rsid w:val="005B6091"/>
    <w:rsid w:val="005B6B77"/>
    <w:rsid w:val="005D2661"/>
    <w:rsid w:val="005E0D49"/>
    <w:rsid w:val="005E10B4"/>
    <w:rsid w:val="0060102E"/>
    <w:rsid w:val="00607699"/>
    <w:rsid w:val="00617EB0"/>
    <w:rsid w:val="00620D27"/>
    <w:rsid w:val="0062122B"/>
    <w:rsid w:val="00623296"/>
    <w:rsid w:val="00634558"/>
    <w:rsid w:val="00636737"/>
    <w:rsid w:val="00641806"/>
    <w:rsid w:val="0064286C"/>
    <w:rsid w:val="006601BA"/>
    <w:rsid w:val="00665A90"/>
    <w:rsid w:val="00672F4E"/>
    <w:rsid w:val="00673387"/>
    <w:rsid w:val="00674F67"/>
    <w:rsid w:val="006C09DE"/>
    <w:rsid w:val="006E5F30"/>
    <w:rsid w:val="006F6C22"/>
    <w:rsid w:val="00700A87"/>
    <w:rsid w:val="007010D5"/>
    <w:rsid w:val="00701BD4"/>
    <w:rsid w:val="007051CE"/>
    <w:rsid w:val="00712418"/>
    <w:rsid w:val="00720155"/>
    <w:rsid w:val="0073139E"/>
    <w:rsid w:val="00747E76"/>
    <w:rsid w:val="00752945"/>
    <w:rsid w:val="00755453"/>
    <w:rsid w:val="00755F59"/>
    <w:rsid w:val="007628A6"/>
    <w:rsid w:val="00766098"/>
    <w:rsid w:val="007B0616"/>
    <w:rsid w:val="007B10F0"/>
    <w:rsid w:val="007B28EC"/>
    <w:rsid w:val="007B5317"/>
    <w:rsid w:val="007B6259"/>
    <w:rsid w:val="007C5EAF"/>
    <w:rsid w:val="007D3B55"/>
    <w:rsid w:val="007F1926"/>
    <w:rsid w:val="007F1D3C"/>
    <w:rsid w:val="007F3D26"/>
    <w:rsid w:val="00801EFB"/>
    <w:rsid w:val="00810F2C"/>
    <w:rsid w:val="00814F93"/>
    <w:rsid w:val="00823B41"/>
    <w:rsid w:val="0082553C"/>
    <w:rsid w:val="008268C6"/>
    <w:rsid w:val="00833A8C"/>
    <w:rsid w:val="00835173"/>
    <w:rsid w:val="00836E88"/>
    <w:rsid w:val="0085291C"/>
    <w:rsid w:val="00861029"/>
    <w:rsid w:val="0087486F"/>
    <w:rsid w:val="00885217"/>
    <w:rsid w:val="00895BAA"/>
    <w:rsid w:val="008A534C"/>
    <w:rsid w:val="008B1EE7"/>
    <w:rsid w:val="008B4483"/>
    <w:rsid w:val="008E4BD3"/>
    <w:rsid w:val="008F3881"/>
    <w:rsid w:val="00903F12"/>
    <w:rsid w:val="00904D92"/>
    <w:rsid w:val="009104FF"/>
    <w:rsid w:val="00910C71"/>
    <w:rsid w:val="00911198"/>
    <w:rsid w:val="009149DF"/>
    <w:rsid w:val="00935905"/>
    <w:rsid w:val="00937E0B"/>
    <w:rsid w:val="00941654"/>
    <w:rsid w:val="00944615"/>
    <w:rsid w:val="00945134"/>
    <w:rsid w:val="00946153"/>
    <w:rsid w:val="0094620F"/>
    <w:rsid w:val="009564C6"/>
    <w:rsid w:val="00956C5D"/>
    <w:rsid w:val="0096356A"/>
    <w:rsid w:val="00965213"/>
    <w:rsid w:val="00971406"/>
    <w:rsid w:val="009726EB"/>
    <w:rsid w:val="009818A8"/>
    <w:rsid w:val="0098567F"/>
    <w:rsid w:val="00986C03"/>
    <w:rsid w:val="00993A8A"/>
    <w:rsid w:val="009968A2"/>
    <w:rsid w:val="009B0405"/>
    <w:rsid w:val="009B287C"/>
    <w:rsid w:val="009C0146"/>
    <w:rsid w:val="009C0621"/>
    <w:rsid w:val="009C0EC4"/>
    <w:rsid w:val="009C4FB1"/>
    <w:rsid w:val="009D29D6"/>
    <w:rsid w:val="009E6241"/>
    <w:rsid w:val="009F2D0E"/>
    <w:rsid w:val="009F5E92"/>
    <w:rsid w:val="00A1695D"/>
    <w:rsid w:val="00A20658"/>
    <w:rsid w:val="00A23E1D"/>
    <w:rsid w:val="00A25E90"/>
    <w:rsid w:val="00A31D00"/>
    <w:rsid w:val="00A379DE"/>
    <w:rsid w:val="00A40548"/>
    <w:rsid w:val="00A4498F"/>
    <w:rsid w:val="00A479AB"/>
    <w:rsid w:val="00A567FC"/>
    <w:rsid w:val="00A632E8"/>
    <w:rsid w:val="00A6623B"/>
    <w:rsid w:val="00A70AB5"/>
    <w:rsid w:val="00A719AD"/>
    <w:rsid w:val="00A73099"/>
    <w:rsid w:val="00A82EC1"/>
    <w:rsid w:val="00A83B36"/>
    <w:rsid w:val="00A84276"/>
    <w:rsid w:val="00A87958"/>
    <w:rsid w:val="00A87A77"/>
    <w:rsid w:val="00AB0D6B"/>
    <w:rsid w:val="00AB1720"/>
    <w:rsid w:val="00AB2337"/>
    <w:rsid w:val="00AB3A9C"/>
    <w:rsid w:val="00AC68F9"/>
    <w:rsid w:val="00AD0DC5"/>
    <w:rsid w:val="00AD678E"/>
    <w:rsid w:val="00AE401F"/>
    <w:rsid w:val="00AF62CC"/>
    <w:rsid w:val="00B0428A"/>
    <w:rsid w:val="00B16E8E"/>
    <w:rsid w:val="00B24047"/>
    <w:rsid w:val="00B26638"/>
    <w:rsid w:val="00B37D80"/>
    <w:rsid w:val="00B42BB1"/>
    <w:rsid w:val="00B46B4D"/>
    <w:rsid w:val="00B50F34"/>
    <w:rsid w:val="00B54ECD"/>
    <w:rsid w:val="00B6089F"/>
    <w:rsid w:val="00B64299"/>
    <w:rsid w:val="00B969BF"/>
    <w:rsid w:val="00BA4DA6"/>
    <w:rsid w:val="00BA520E"/>
    <w:rsid w:val="00BA6F15"/>
    <w:rsid w:val="00BB5EFA"/>
    <w:rsid w:val="00BB651F"/>
    <w:rsid w:val="00BC46BE"/>
    <w:rsid w:val="00BD306E"/>
    <w:rsid w:val="00BE381C"/>
    <w:rsid w:val="00BF0F5C"/>
    <w:rsid w:val="00C01CE3"/>
    <w:rsid w:val="00C022F4"/>
    <w:rsid w:val="00C02D4D"/>
    <w:rsid w:val="00C03AC4"/>
    <w:rsid w:val="00C03B9B"/>
    <w:rsid w:val="00C10E34"/>
    <w:rsid w:val="00C11D45"/>
    <w:rsid w:val="00C152DD"/>
    <w:rsid w:val="00C167C3"/>
    <w:rsid w:val="00C22043"/>
    <w:rsid w:val="00C240DF"/>
    <w:rsid w:val="00C3420F"/>
    <w:rsid w:val="00C414E0"/>
    <w:rsid w:val="00C47850"/>
    <w:rsid w:val="00C543EA"/>
    <w:rsid w:val="00C60657"/>
    <w:rsid w:val="00C61B50"/>
    <w:rsid w:val="00C62051"/>
    <w:rsid w:val="00C64481"/>
    <w:rsid w:val="00C73C3F"/>
    <w:rsid w:val="00C75465"/>
    <w:rsid w:val="00C91C2C"/>
    <w:rsid w:val="00C92539"/>
    <w:rsid w:val="00C97447"/>
    <w:rsid w:val="00CB0E2A"/>
    <w:rsid w:val="00CB3826"/>
    <w:rsid w:val="00CB7607"/>
    <w:rsid w:val="00CD329D"/>
    <w:rsid w:val="00CF7145"/>
    <w:rsid w:val="00D17346"/>
    <w:rsid w:val="00D21B34"/>
    <w:rsid w:val="00D224CB"/>
    <w:rsid w:val="00D33957"/>
    <w:rsid w:val="00D34783"/>
    <w:rsid w:val="00D352D3"/>
    <w:rsid w:val="00D3622C"/>
    <w:rsid w:val="00D414C1"/>
    <w:rsid w:val="00D44A54"/>
    <w:rsid w:val="00D56C75"/>
    <w:rsid w:val="00D61016"/>
    <w:rsid w:val="00D6374F"/>
    <w:rsid w:val="00D77DE9"/>
    <w:rsid w:val="00D90BE3"/>
    <w:rsid w:val="00D91CBE"/>
    <w:rsid w:val="00DA5D8D"/>
    <w:rsid w:val="00DC25A6"/>
    <w:rsid w:val="00DC62B5"/>
    <w:rsid w:val="00DD01D7"/>
    <w:rsid w:val="00DD4049"/>
    <w:rsid w:val="00E02C98"/>
    <w:rsid w:val="00E2341B"/>
    <w:rsid w:val="00E51EED"/>
    <w:rsid w:val="00E6145E"/>
    <w:rsid w:val="00E62061"/>
    <w:rsid w:val="00E65F71"/>
    <w:rsid w:val="00E76C3D"/>
    <w:rsid w:val="00E83EDA"/>
    <w:rsid w:val="00E85991"/>
    <w:rsid w:val="00E85AFF"/>
    <w:rsid w:val="00E91533"/>
    <w:rsid w:val="00EA4206"/>
    <w:rsid w:val="00EB3482"/>
    <w:rsid w:val="00EB5FD2"/>
    <w:rsid w:val="00ED2A0D"/>
    <w:rsid w:val="00EE513C"/>
    <w:rsid w:val="00EE5E7C"/>
    <w:rsid w:val="00EF2ACE"/>
    <w:rsid w:val="00EF340E"/>
    <w:rsid w:val="00F006FA"/>
    <w:rsid w:val="00F05311"/>
    <w:rsid w:val="00F14445"/>
    <w:rsid w:val="00F206E1"/>
    <w:rsid w:val="00F23B5C"/>
    <w:rsid w:val="00F351F7"/>
    <w:rsid w:val="00F419A1"/>
    <w:rsid w:val="00F43A63"/>
    <w:rsid w:val="00F46FB3"/>
    <w:rsid w:val="00F51AD4"/>
    <w:rsid w:val="00F65B73"/>
    <w:rsid w:val="00F75CFE"/>
    <w:rsid w:val="00F80DA8"/>
    <w:rsid w:val="00F82C96"/>
    <w:rsid w:val="00F8317F"/>
    <w:rsid w:val="00F9344E"/>
    <w:rsid w:val="00F96181"/>
    <w:rsid w:val="00FA5F6E"/>
    <w:rsid w:val="00FB0152"/>
    <w:rsid w:val="00FB618B"/>
    <w:rsid w:val="00FC4056"/>
    <w:rsid w:val="00FD51AB"/>
    <w:rsid w:val="00FF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6B847A-5D42-494C-B6DC-497D527B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7F11"/>
    <w:pPr>
      <w:spacing w:after="200" w:line="276" w:lineRule="auto"/>
      <w:ind w:left="720"/>
      <w:contextualSpacing/>
    </w:pPr>
    <w:rPr>
      <w:rFonts w:eastAsia="Calibri"/>
      <w:szCs w:val="22"/>
      <w:lang w:eastAsia="en-US"/>
    </w:rPr>
  </w:style>
  <w:style w:type="paragraph" w:styleId="BalloonText">
    <w:name w:val="Balloon Text"/>
    <w:basedOn w:val="Normal"/>
    <w:link w:val="BalloonTextChar"/>
    <w:rsid w:val="0043720E"/>
    <w:rPr>
      <w:rFonts w:ascii="Tahoma" w:hAnsi="Tahoma" w:cs="Tahoma"/>
      <w:sz w:val="16"/>
      <w:szCs w:val="16"/>
    </w:rPr>
  </w:style>
  <w:style w:type="character" w:customStyle="1" w:styleId="BalloonTextChar">
    <w:name w:val="Balloon Text Char"/>
    <w:basedOn w:val="DefaultParagraphFont"/>
    <w:link w:val="BalloonText"/>
    <w:rsid w:val="0043720E"/>
    <w:rPr>
      <w:rFonts w:ascii="Tahoma" w:hAnsi="Tahoma" w:cs="Tahoma"/>
      <w:sz w:val="16"/>
      <w:szCs w:val="16"/>
    </w:rPr>
  </w:style>
  <w:style w:type="table" w:styleId="TableGrid">
    <w:name w:val="Table Grid"/>
    <w:basedOn w:val="TableNormal"/>
    <w:rsid w:val="009C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66098"/>
    <w:pPr>
      <w:spacing w:after="200"/>
    </w:pPr>
    <w:rPr>
      <w:b/>
      <w:bCs/>
      <w:color w:val="4F81BD" w:themeColor="accent1"/>
      <w:sz w:val="18"/>
      <w:szCs w:val="18"/>
    </w:rPr>
  </w:style>
  <w:style w:type="paragraph" w:styleId="Header">
    <w:name w:val="header"/>
    <w:basedOn w:val="Normal"/>
    <w:link w:val="HeaderChar"/>
    <w:rsid w:val="00D44A54"/>
    <w:pPr>
      <w:tabs>
        <w:tab w:val="center" w:pos="4513"/>
        <w:tab w:val="right" w:pos="9026"/>
      </w:tabs>
    </w:pPr>
  </w:style>
  <w:style w:type="character" w:customStyle="1" w:styleId="HeaderChar">
    <w:name w:val="Header Char"/>
    <w:basedOn w:val="DefaultParagraphFont"/>
    <w:link w:val="Header"/>
    <w:rsid w:val="00D44A54"/>
    <w:rPr>
      <w:rFonts w:ascii="Arial" w:hAnsi="Arial"/>
      <w:sz w:val="24"/>
      <w:szCs w:val="24"/>
    </w:rPr>
  </w:style>
  <w:style w:type="paragraph" w:styleId="Footer">
    <w:name w:val="footer"/>
    <w:basedOn w:val="Normal"/>
    <w:link w:val="FooterChar"/>
    <w:rsid w:val="00D44A54"/>
    <w:pPr>
      <w:tabs>
        <w:tab w:val="center" w:pos="4513"/>
        <w:tab w:val="right" w:pos="9026"/>
      </w:tabs>
    </w:pPr>
  </w:style>
  <w:style w:type="character" w:customStyle="1" w:styleId="FooterChar">
    <w:name w:val="Footer Char"/>
    <w:basedOn w:val="DefaultParagraphFont"/>
    <w:link w:val="Footer"/>
    <w:rsid w:val="00D44A54"/>
    <w:rPr>
      <w:rFonts w:ascii="Arial" w:hAnsi="Arial"/>
      <w:sz w:val="24"/>
      <w:szCs w:val="24"/>
    </w:rPr>
  </w:style>
  <w:style w:type="character" w:styleId="CommentReference">
    <w:name w:val="annotation reference"/>
    <w:basedOn w:val="DefaultParagraphFont"/>
    <w:rsid w:val="00E02C98"/>
    <w:rPr>
      <w:sz w:val="16"/>
      <w:szCs w:val="16"/>
    </w:rPr>
  </w:style>
  <w:style w:type="paragraph" w:styleId="CommentText">
    <w:name w:val="annotation text"/>
    <w:basedOn w:val="Normal"/>
    <w:link w:val="CommentTextChar"/>
    <w:rsid w:val="00E02C98"/>
    <w:rPr>
      <w:sz w:val="20"/>
      <w:szCs w:val="20"/>
    </w:rPr>
  </w:style>
  <w:style w:type="character" w:customStyle="1" w:styleId="CommentTextChar">
    <w:name w:val="Comment Text Char"/>
    <w:basedOn w:val="DefaultParagraphFont"/>
    <w:link w:val="CommentText"/>
    <w:rsid w:val="00E02C98"/>
    <w:rPr>
      <w:rFonts w:ascii="Arial" w:hAnsi="Arial"/>
    </w:rPr>
  </w:style>
  <w:style w:type="paragraph" w:styleId="CommentSubject">
    <w:name w:val="annotation subject"/>
    <w:basedOn w:val="CommentText"/>
    <w:next w:val="CommentText"/>
    <w:link w:val="CommentSubjectChar"/>
    <w:rsid w:val="00E02C98"/>
    <w:rPr>
      <w:b/>
      <w:bCs/>
    </w:rPr>
  </w:style>
  <w:style w:type="character" w:customStyle="1" w:styleId="CommentSubjectChar">
    <w:name w:val="Comment Subject Char"/>
    <w:basedOn w:val="CommentTextChar"/>
    <w:link w:val="CommentSubject"/>
    <w:rsid w:val="00E02C98"/>
    <w:rPr>
      <w:rFonts w:ascii="Arial" w:hAnsi="Arial"/>
      <w:b/>
      <w:bCs/>
    </w:rPr>
  </w:style>
  <w:style w:type="paragraph" w:styleId="Revision">
    <w:name w:val="Revision"/>
    <w:hidden/>
    <w:uiPriority w:val="99"/>
    <w:semiHidden/>
    <w:rsid w:val="009D29D6"/>
    <w:rPr>
      <w:rFonts w:ascii="Arial" w:hAnsi="Arial"/>
      <w:sz w:val="24"/>
      <w:szCs w:val="24"/>
    </w:rPr>
  </w:style>
  <w:style w:type="character" w:customStyle="1" w:styleId="ListParagraphChar">
    <w:name w:val="List Paragraph Char"/>
    <w:basedOn w:val="DefaultParagraphFont"/>
    <w:link w:val="ListParagraph"/>
    <w:uiPriority w:val="34"/>
    <w:rsid w:val="00F80DA8"/>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7726">
      <w:bodyDiv w:val="1"/>
      <w:marLeft w:val="0"/>
      <w:marRight w:val="0"/>
      <w:marTop w:val="0"/>
      <w:marBottom w:val="0"/>
      <w:divBdr>
        <w:top w:val="none" w:sz="0" w:space="0" w:color="auto"/>
        <w:left w:val="none" w:sz="0" w:space="0" w:color="auto"/>
        <w:bottom w:val="none" w:sz="0" w:space="0" w:color="auto"/>
        <w:right w:val="none" w:sz="0" w:space="0" w:color="auto"/>
      </w:divBdr>
    </w:div>
    <w:div w:id="341320643">
      <w:bodyDiv w:val="1"/>
      <w:marLeft w:val="0"/>
      <w:marRight w:val="0"/>
      <w:marTop w:val="0"/>
      <w:marBottom w:val="0"/>
      <w:divBdr>
        <w:top w:val="none" w:sz="0" w:space="0" w:color="auto"/>
        <w:left w:val="none" w:sz="0" w:space="0" w:color="auto"/>
        <w:bottom w:val="none" w:sz="0" w:space="0" w:color="auto"/>
        <w:right w:val="none" w:sz="0" w:space="0" w:color="auto"/>
      </w:divBdr>
    </w:div>
    <w:div w:id="567299524">
      <w:bodyDiv w:val="1"/>
      <w:marLeft w:val="0"/>
      <w:marRight w:val="0"/>
      <w:marTop w:val="0"/>
      <w:marBottom w:val="0"/>
      <w:divBdr>
        <w:top w:val="none" w:sz="0" w:space="0" w:color="auto"/>
        <w:left w:val="none" w:sz="0" w:space="0" w:color="auto"/>
        <w:bottom w:val="none" w:sz="0" w:space="0" w:color="auto"/>
        <w:right w:val="none" w:sz="0" w:space="0" w:color="auto"/>
      </w:divBdr>
    </w:div>
    <w:div w:id="1320228095">
      <w:bodyDiv w:val="1"/>
      <w:marLeft w:val="0"/>
      <w:marRight w:val="0"/>
      <w:marTop w:val="0"/>
      <w:marBottom w:val="0"/>
      <w:divBdr>
        <w:top w:val="none" w:sz="0" w:space="0" w:color="auto"/>
        <w:left w:val="none" w:sz="0" w:space="0" w:color="auto"/>
        <w:bottom w:val="none" w:sz="0" w:space="0" w:color="auto"/>
        <w:right w:val="none" w:sz="0" w:space="0" w:color="auto"/>
      </w:divBdr>
    </w:div>
    <w:div w:id="1412046980">
      <w:bodyDiv w:val="1"/>
      <w:marLeft w:val="0"/>
      <w:marRight w:val="0"/>
      <w:marTop w:val="0"/>
      <w:marBottom w:val="0"/>
      <w:divBdr>
        <w:top w:val="none" w:sz="0" w:space="0" w:color="auto"/>
        <w:left w:val="none" w:sz="0" w:space="0" w:color="auto"/>
        <w:bottom w:val="none" w:sz="0" w:space="0" w:color="auto"/>
        <w:right w:val="none" w:sz="0" w:space="0" w:color="auto"/>
      </w:divBdr>
    </w:div>
    <w:div w:id="1956787970">
      <w:bodyDiv w:val="1"/>
      <w:marLeft w:val="0"/>
      <w:marRight w:val="0"/>
      <w:marTop w:val="0"/>
      <w:marBottom w:val="0"/>
      <w:divBdr>
        <w:top w:val="none" w:sz="0" w:space="0" w:color="auto"/>
        <w:left w:val="none" w:sz="0" w:space="0" w:color="auto"/>
        <w:bottom w:val="none" w:sz="0" w:space="0" w:color="auto"/>
        <w:right w:val="none" w:sz="0" w:space="0" w:color="auto"/>
      </w:divBdr>
    </w:div>
    <w:div w:id="196064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GB"/>
              <a:t>Debt owed in £m by time</a:t>
            </a:r>
            <a:r>
              <a:rPr lang="en-GB" baseline="0"/>
              <a:t> outstanding</a:t>
            </a:r>
            <a:endParaRPr lang="en-GB"/>
          </a:p>
        </c:rich>
      </c:tx>
      <c:layout/>
      <c:overlay val="0"/>
      <c:spPr>
        <a:noFill/>
        <a:ln>
          <a:noFill/>
        </a:ln>
        <a:effectLst/>
      </c:spPr>
    </c:title>
    <c:autoTitleDeleted val="0"/>
    <c:plotArea>
      <c:layout/>
      <c:barChart>
        <c:barDir val="col"/>
        <c:grouping val="stacked"/>
        <c:varyColors val="0"/>
        <c:ser>
          <c:idx val="0"/>
          <c:order val="0"/>
          <c:tx>
            <c:strRef>
              <c:f>Sheet1!$A$2</c:f>
              <c:strCache>
                <c:ptCount val="1"/>
                <c:pt idx="0">
                  <c:v>Over 24 months</c:v>
                </c:pt>
              </c:strCache>
            </c:strRef>
          </c:tx>
          <c:spPr>
            <a:solidFill>
              <a:schemeClr val="accent1"/>
            </a:solidFill>
            <a:ln>
              <a:noFill/>
            </a:ln>
            <a:effectLst/>
          </c:spPr>
          <c:invertIfNegative val="0"/>
          <c:cat>
            <c:strRef>
              <c:f>Sheet1!$B$1:$J$1</c:f>
              <c:strCache>
                <c:ptCount val="9"/>
                <c:pt idx="0">
                  <c:v>April</c:v>
                </c:pt>
                <c:pt idx="1">
                  <c:v>May</c:v>
                </c:pt>
                <c:pt idx="2">
                  <c:v>June</c:v>
                </c:pt>
                <c:pt idx="3">
                  <c:v>July</c:v>
                </c:pt>
                <c:pt idx="4">
                  <c:v>August</c:v>
                </c:pt>
                <c:pt idx="5">
                  <c:v>Sept</c:v>
                </c:pt>
                <c:pt idx="6">
                  <c:v>Oct</c:v>
                </c:pt>
                <c:pt idx="7">
                  <c:v>Nov </c:v>
                </c:pt>
                <c:pt idx="8">
                  <c:v>Dec</c:v>
                </c:pt>
              </c:strCache>
            </c:strRef>
          </c:cat>
          <c:val>
            <c:numRef>
              <c:f>Sheet1!$B$2:$J$2</c:f>
              <c:numCache>
                <c:formatCode>_("£"* #,##0.00_);_("£"* \(#,##0.00\);_("£"* "-"??_);_(@_)</c:formatCode>
                <c:ptCount val="9"/>
                <c:pt idx="0">
                  <c:v>4.5999999999999996</c:v>
                </c:pt>
                <c:pt idx="1">
                  <c:v>4.7300000000000004</c:v>
                </c:pt>
                <c:pt idx="2">
                  <c:v>4.88</c:v>
                </c:pt>
                <c:pt idx="3">
                  <c:v>5.23</c:v>
                </c:pt>
                <c:pt idx="4">
                  <c:v>5.38</c:v>
                </c:pt>
                <c:pt idx="5">
                  <c:v>5.51</c:v>
                </c:pt>
                <c:pt idx="6">
                  <c:v>5.65</c:v>
                </c:pt>
                <c:pt idx="7">
                  <c:v>5.9</c:v>
                </c:pt>
                <c:pt idx="8">
                  <c:v>6.2</c:v>
                </c:pt>
              </c:numCache>
            </c:numRef>
          </c:val>
        </c:ser>
        <c:ser>
          <c:idx val="1"/>
          <c:order val="1"/>
          <c:tx>
            <c:strRef>
              <c:f>Sheet1!$A$3</c:f>
              <c:strCache>
                <c:ptCount val="1"/>
                <c:pt idx="0">
                  <c:v>Between 6 and 24</c:v>
                </c:pt>
              </c:strCache>
            </c:strRef>
          </c:tx>
          <c:spPr>
            <a:solidFill>
              <a:schemeClr val="accent2"/>
            </a:solidFill>
            <a:ln>
              <a:noFill/>
            </a:ln>
            <a:effectLst/>
          </c:spPr>
          <c:invertIfNegative val="0"/>
          <c:cat>
            <c:strRef>
              <c:f>Sheet1!$B$1:$J$1</c:f>
              <c:strCache>
                <c:ptCount val="9"/>
                <c:pt idx="0">
                  <c:v>April</c:v>
                </c:pt>
                <c:pt idx="1">
                  <c:v>May</c:v>
                </c:pt>
                <c:pt idx="2">
                  <c:v>June</c:v>
                </c:pt>
                <c:pt idx="3">
                  <c:v>July</c:v>
                </c:pt>
                <c:pt idx="4">
                  <c:v>August</c:v>
                </c:pt>
                <c:pt idx="5">
                  <c:v>Sept</c:v>
                </c:pt>
                <c:pt idx="6">
                  <c:v>Oct</c:v>
                </c:pt>
                <c:pt idx="7">
                  <c:v>Nov </c:v>
                </c:pt>
                <c:pt idx="8">
                  <c:v>Dec</c:v>
                </c:pt>
              </c:strCache>
            </c:strRef>
          </c:cat>
          <c:val>
            <c:numRef>
              <c:f>Sheet1!$B$3:$J$3</c:f>
              <c:numCache>
                <c:formatCode>_("£"* #,##0.00_);_("£"* \(#,##0.00\);_("£"* "-"??_);_(@_)</c:formatCode>
                <c:ptCount val="9"/>
                <c:pt idx="0">
                  <c:v>8.8000000000000007</c:v>
                </c:pt>
                <c:pt idx="1">
                  <c:v>8.59</c:v>
                </c:pt>
                <c:pt idx="2">
                  <c:v>8.620000000000001</c:v>
                </c:pt>
                <c:pt idx="3">
                  <c:v>9.5459999999999994</c:v>
                </c:pt>
                <c:pt idx="4">
                  <c:v>9.8500000000000014</c:v>
                </c:pt>
                <c:pt idx="5">
                  <c:v>9.82</c:v>
                </c:pt>
                <c:pt idx="6">
                  <c:v>9.8699999999999992</c:v>
                </c:pt>
                <c:pt idx="7">
                  <c:v>9.7199999999999989</c:v>
                </c:pt>
                <c:pt idx="8">
                  <c:v>10.220000000000002</c:v>
                </c:pt>
              </c:numCache>
            </c:numRef>
          </c:val>
        </c:ser>
        <c:ser>
          <c:idx val="2"/>
          <c:order val="2"/>
          <c:tx>
            <c:strRef>
              <c:f>Sheet1!$A$4</c:f>
              <c:strCache>
                <c:ptCount val="1"/>
                <c:pt idx="0">
                  <c:v>Under 6 months</c:v>
                </c:pt>
              </c:strCache>
            </c:strRef>
          </c:tx>
          <c:spPr>
            <a:solidFill>
              <a:schemeClr val="accent3"/>
            </a:solidFill>
            <a:ln>
              <a:noFill/>
            </a:ln>
            <a:effectLst/>
          </c:spPr>
          <c:invertIfNegative val="0"/>
          <c:cat>
            <c:strRef>
              <c:f>Sheet1!$B$1:$J$1</c:f>
              <c:strCache>
                <c:ptCount val="9"/>
                <c:pt idx="0">
                  <c:v>April</c:v>
                </c:pt>
                <c:pt idx="1">
                  <c:v>May</c:v>
                </c:pt>
                <c:pt idx="2">
                  <c:v>June</c:v>
                </c:pt>
                <c:pt idx="3">
                  <c:v>July</c:v>
                </c:pt>
                <c:pt idx="4">
                  <c:v>August</c:v>
                </c:pt>
                <c:pt idx="5">
                  <c:v>Sept</c:v>
                </c:pt>
                <c:pt idx="6">
                  <c:v>Oct</c:v>
                </c:pt>
                <c:pt idx="7">
                  <c:v>Nov </c:v>
                </c:pt>
                <c:pt idx="8">
                  <c:v>Dec</c:v>
                </c:pt>
              </c:strCache>
            </c:strRef>
          </c:cat>
          <c:val>
            <c:numRef>
              <c:f>Sheet1!$B$4:$J$4</c:f>
              <c:numCache>
                <c:formatCode>_("£"* #,##0.00_);_("£"* \(#,##0.00\);_("£"* "-"??_);_(@_)</c:formatCode>
                <c:ptCount val="9"/>
                <c:pt idx="0">
                  <c:v>23.2</c:v>
                </c:pt>
                <c:pt idx="1">
                  <c:v>18.38</c:v>
                </c:pt>
                <c:pt idx="2">
                  <c:v>21.88</c:v>
                </c:pt>
                <c:pt idx="3">
                  <c:v>18.574000000000002</c:v>
                </c:pt>
                <c:pt idx="4">
                  <c:v>16.739999999999998</c:v>
                </c:pt>
                <c:pt idx="5">
                  <c:v>15.01</c:v>
                </c:pt>
                <c:pt idx="6">
                  <c:v>20.5</c:v>
                </c:pt>
                <c:pt idx="7">
                  <c:v>20.64</c:v>
                </c:pt>
                <c:pt idx="8">
                  <c:v>21.019999999999996</c:v>
                </c:pt>
              </c:numCache>
            </c:numRef>
          </c:val>
        </c:ser>
        <c:dLbls>
          <c:showLegendKey val="0"/>
          <c:showVal val="0"/>
          <c:showCatName val="0"/>
          <c:showSerName val="0"/>
          <c:showPercent val="0"/>
          <c:showBubbleSize val="0"/>
        </c:dLbls>
        <c:gapWidth val="95"/>
        <c:overlap val="100"/>
        <c:axId val="197102568"/>
        <c:axId val="197102960"/>
      </c:barChart>
      <c:catAx>
        <c:axId val="19710256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97102960"/>
        <c:crosses val="autoZero"/>
        <c:auto val="1"/>
        <c:lblAlgn val="ctr"/>
        <c:lblOffset val="100"/>
        <c:noMultiLvlLbl val="0"/>
      </c:catAx>
      <c:valAx>
        <c:axId val="19710296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GB"/>
                  <a:t>Debt value in Millions (£m)</a:t>
                </a:r>
              </a:p>
            </c:rich>
          </c:tx>
          <c:layout/>
          <c:overlay val="0"/>
          <c:spPr>
            <a:noFill/>
            <a:ln>
              <a:noFill/>
            </a:ln>
            <a:effectLst/>
          </c:spPr>
        </c:title>
        <c:numFmt formatCode="_(&quot;£&quot;* #,##0_);_(&quot;£&quot;* \(#,##0\);_(&quot;£&quot;* &quot;-&quot;_);_(@_)" sourceLinked="0"/>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97102568"/>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en-US"/>
          </a:p>
        </c:txPr>
      </c:dTable>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Care</a:t>
            </a:r>
            <a:r>
              <a:rPr lang="en-GB" b="1" baseline="0"/>
              <a:t> / Non-Care Split of debt over 6 months old (£m</a:t>
            </a:r>
            <a:r>
              <a:rPr lang="en-GB" baseline="0"/>
              <a:t>)</a:t>
            </a:r>
            <a:endParaRPr lang="en-GB"/>
          </a:p>
        </c:rich>
      </c:tx>
      <c:layout/>
      <c:overlay val="0"/>
      <c:spPr>
        <a:noFill/>
        <a:ln>
          <a:noFill/>
        </a:ln>
        <a:effectLst/>
      </c:spPr>
    </c:title>
    <c:autoTitleDeleted val="0"/>
    <c:plotArea>
      <c:layout/>
      <c:barChart>
        <c:barDir val="col"/>
        <c:grouping val="stacked"/>
        <c:varyColors val="0"/>
        <c:ser>
          <c:idx val="0"/>
          <c:order val="0"/>
          <c:tx>
            <c:strRef>
              <c:f>Sheet1!$A$2</c:f>
              <c:strCache>
                <c:ptCount val="1"/>
                <c:pt idx="0">
                  <c:v>Care</c:v>
                </c:pt>
              </c:strCache>
            </c:strRef>
          </c:tx>
          <c:spPr>
            <a:solidFill>
              <a:schemeClr val="accent1"/>
            </a:solidFill>
            <a:ln>
              <a:noFill/>
            </a:ln>
            <a:effectLst/>
          </c:spPr>
          <c:invertIfNegative val="0"/>
          <c:cat>
            <c:strRef>
              <c:f>Sheet1!$B$1:$J$1</c:f>
              <c:strCache>
                <c:ptCount val="9"/>
                <c:pt idx="0">
                  <c:v>April</c:v>
                </c:pt>
                <c:pt idx="1">
                  <c:v>May</c:v>
                </c:pt>
                <c:pt idx="2">
                  <c:v>June</c:v>
                </c:pt>
                <c:pt idx="3">
                  <c:v>July</c:v>
                </c:pt>
                <c:pt idx="4">
                  <c:v>August</c:v>
                </c:pt>
                <c:pt idx="5">
                  <c:v>September</c:v>
                </c:pt>
                <c:pt idx="6">
                  <c:v>October</c:v>
                </c:pt>
                <c:pt idx="7">
                  <c:v>November</c:v>
                </c:pt>
                <c:pt idx="8">
                  <c:v>December</c:v>
                </c:pt>
              </c:strCache>
            </c:strRef>
          </c:cat>
          <c:val>
            <c:numRef>
              <c:f>Sheet1!$B$2:$J$2</c:f>
              <c:numCache>
                <c:formatCode>_("£"* #,##0.00_);_("£"* \(#,##0.00\);_("£"* "-"??_);_(@_)</c:formatCode>
                <c:ptCount val="9"/>
                <c:pt idx="0">
                  <c:v>9.75</c:v>
                </c:pt>
                <c:pt idx="1">
                  <c:v>9.74</c:v>
                </c:pt>
                <c:pt idx="2">
                  <c:v>10</c:v>
                </c:pt>
                <c:pt idx="3">
                  <c:v>10.47</c:v>
                </c:pt>
                <c:pt idx="4">
                  <c:v>10.75</c:v>
                </c:pt>
                <c:pt idx="5">
                  <c:v>10.72</c:v>
                </c:pt>
                <c:pt idx="6">
                  <c:v>10.9</c:v>
                </c:pt>
                <c:pt idx="7">
                  <c:v>11</c:v>
                </c:pt>
                <c:pt idx="8">
                  <c:v>11.56</c:v>
                </c:pt>
              </c:numCache>
            </c:numRef>
          </c:val>
        </c:ser>
        <c:ser>
          <c:idx val="1"/>
          <c:order val="1"/>
          <c:tx>
            <c:strRef>
              <c:f>Sheet1!$A$3</c:f>
              <c:strCache>
                <c:ptCount val="1"/>
                <c:pt idx="0">
                  <c:v>Non-CareCategory 2</c:v>
                </c:pt>
              </c:strCache>
            </c:strRef>
          </c:tx>
          <c:spPr>
            <a:solidFill>
              <a:schemeClr val="accent2"/>
            </a:solidFill>
            <a:ln>
              <a:noFill/>
            </a:ln>
            <a:effectLst/>
          </c:spPr>
          <c:invertIfNegative val="0"/>
          <c:cat>
            <c:strRef>
              <c:f>Sheet1!$B$1:$J$1</c:f>
              <c:strCache>
                <c:ptCount val="9"/>
                <c:pt idx="0">
                  <c:v>April</c:v>
                </c:pt>
                <c:pt idx="1">
                  <c:v>May</c:v>
                </c:pt>
                <c:pt idx="2">
                  <c:v>June</c:v>
                </c:pt>
                <c:pt idx="3">
                  <c:v>July</c:v>
                </c:pt>
                <c:pt idx="4">
                  <c:v>August</c:v>
                </c:pt>
                <c:pt idx="5">
                  <c:v>September</c:v>
                </c:pt>
                <c:pt idx="6">
                  <c:v>October</c:v>
                </c:pt>
                <c:pt idx="7">
                  <c:v>November</c:v>
                </c:pt>
                <c:pt idx="8">
                  <c:v>December</c:v>
                </c:pt>
              </c:strCache>
            </c:strRef>
          </c:cat>
          <c:val>
            <c:numRef>
              <c:f>Sheet1!$B$3:$J$3</c:f>
              <c:numCache>
                <c:formatCode>_("£"* #,##0.00_);_("£"* \(#,##0.00\);_("£"* "-"??_);_(@_)</c:formatCode>
                <c:ptCount val="9"/>
                <c:pt idx="0">
                  <c:v>3.65</c:v>
                </c:pt>
                <c:pt idx="1">
                  <c:v>3.58</c:v>
                </c:pt>
                <c:pt idx="2">
                  <c:v>3.52</c:v>
                </c:pt>
                <c:pt idx="3">
                  <c:v>4.29</c:v>
                </c:pt>
                <c:pt idx="4">
                  <c:v>4.4800000000000004</c:v>
                </c:pt>
                <c:pt idx="5">
                  <c:v>4.6100000000000003</c:v>
                </c:pt>
                <c:pt idx="6">
                  <c:v>4.6100000000000003</c:v>
                </c:pt>
                <c:pt idx="7">
                  <c:v>4.62</c:v>
                </c:pt>
                <c:pt idx="8">
                  <c:v>4.8600000000000003</c:v>
                </c:pt>
              </c:numCache>
            </c:numRef>
          </c:val>
        </c:ser>
        <c:dLbls>
          <c:showLegendKey val="0"/>
          <c:showVal val="0"/>
          <c:showCatName val="0"/>
          <c:showSerName val="0"/>
          <c:showPercent val="0"/>
          <c:showBubbleSize val="0"/>
        </c:dLbls>
        <c:gapWidth val="95"/>
        <c:overlap val="100"/>
        <c:axId val="19149752"/>
        <c:axId val="19150144"/>
      </c:barChart>
      <c:catAx>
        <c:axId val="19149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50144"/>
        <c:crosses val="autoZero"/>
        <c:auto val="1"/>
        <c:lblAlgn val="ctr"/>
        <c:lblOffset val="100"/>
        <c:noMultiLvlLbl val="0"/>
      </c:catAx>
      <c:valAx>
        <c:axId val="19150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Value in £m</a:t>
                </a:r>
              </a:p>
            </c:rich>
          </c:tx>
          <c:layout/>
          <c:overlay val="0"/>
          <c:spPr>
            <a:noFill/>
            <a:ln>
              <a:noFill/>
            </a:ln>
            <a:effectLst/>
          </c:spPr>
        </c:title>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497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8896C-6430-4872-AB70-B38A9831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3040</Words>
  <Characters>16072</Characters>
  <Application>Microsoft Office Word</Application>
  <DocSecurity>4</DocSecurity>
  <Lines>133</Lines>
  <Paragraphs>38</Paragraphs>
  <ScaleCrop>false</ScaleCrop>
  <HeadingPairs>
    <vt:vector size="2" baseType="variant">
      <vt:variant>
        <vt:lpstr>Title</vt:lpstr>
      </vt:variant>
      <vt:variant>
        <vt:i4>1</vt:i4>
      </vt:variant>
    </vt:vector>
  </HeadingPairs>
  <TitlesOfParts>
    <vt:vector size="1" baseType="lpstr">
      <vt:lpstr>Guidance in developing Recovery Plans</vt:lpstr>
    </vt:vector>
  </TitlesOfParts>
  <Company>Lancashire County Council</Company>
  <LinksUpToDate>false</LinksUpToDate>
  <CharactersWithSpaces>19074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in developing Recovery Plans</dc:title>
  <dc:creator>dledsham001</dc:creator>
  <cp:lastModifiedBy>Mills, Joanne</cp:lastModifiedBy>
  <cp:revision>2</cp:revision>
  <cp:lastPrinted>2015-02-27T11:15:00Z</cp:lastPrinted>
  <dcterms:created xsi:type="dcterms:W3CDTF">2015-03-03T14:17:00Z</dcterms:created>
  <dcterms:modified xsi:type="dcterms:W3CDTF">2015-03-03T14:17:00Z</dcterms:modified>
</cp:coreProperties>
</file>